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17E27">
        <w:trPr>
          <w:trHeight w:hRule="exact" w:val="3031"/>
        </w:trPr>
        <w:tc>
          <w:tcPr>
            <w:tcW w:w="10716" w:type="dxa"/>
          </w:tcPr>
          <w:p w:rsidR="00000000" w:rsidRPr="00B17E27" w:rsidRDefault="00B17E27">
            <w:pPr>
              <w:pStyle w:val="ConsPlusTitlePage"/>
            </w:pPr>
            <w:bookmarkStart w:id="0" w:name="_GoBack"/>
            <w:bookmarkEnd w:id="0"/>
            <w:r w:rsidRPr="00B17E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17E27">
        <w:trPr>
          <w:trHeight w:hRule="exact" w:val="8335"/>
        </w:trPr>
        <w:tc>
          <w:tcPr>
            <w:tcW w:w="10716" w:type="dxa"/>
            <w:vAlign w:val="center"/>
          </w:tcPr>
          <w:p w:rsidR="00000000" w:rsidRPr="00B17E27" w:rsidRDefault="00B17E2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17E27">
              <w:rPr>
                <w:sz w:val="48"/>
                <w:szCs w:val="48"/>
              </w:rPr>
              <w:t xml:space="preserve"> Приказ Минздрава России от 29.12.2012 N 1752н</w:t>
            </w:r>
            <w:r w:rsidRPr="00B17E27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пропионовой ацидемии"</w:t>
            </w:r>
            <w:r w:rsidRPr="00B17E27">
              <w:rPr>
                <w:sz w:val="48"/>
                <w:szCs w:val="48"/>
              </w:rPr>
              <w:br/>
              <w:t>(Зарегистрировано в Минюсте России 01.04.2013 N 27946)</w:t>
            </w:r>
          </w:p>
        </w:tc>
      </w:tr>
      <w:tr w:rsidR="00000000" w:rsidRPr="00B17E27">
        <w:trPr>
          <w:trHeight w:hRule="exact" w:val="3031"/>
        </w:trPr>
        <w:tc>
          <w:tcPr>
            <w:tcW w:w="10716" w:type="dxa"/>
            <w:vAlign w:val="center"/>
          </w:tcPr>
          <w:p w:rsidR="00000000" w:rsidRPr="00B17E27" w:rsidRDefault="00B17E2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17E2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17E2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17E2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17E2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17E27">
              <w:rPr>
                <w:sz w:val="28"/>
                <w:szCs w:val="28"/>
              </w:rPr>
              <w:t xml:space="preserve"> </w:t>
            </w:r>
            <w:r w:rsidRPr="00B17E27">
              <w:rPr>
                <w:sz w:val="28"/>
                <w:szCs w:val="28"/>
              </w:rPr>
              <w:br/>
            </w:r>
            <w:r w:rsidRPr="00B17E27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B17E2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7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7E27">
      <w:pPr>
        <w:pStyle w:val="ConsPlusNormal"/>
        <w:jc w:val="both"/>
        <w:outlineLvl w:val="0"/>
      </w:pPr>
    </w:p>
    <w:p w:rsidR="00000000" w:rsidRDefault="00B17E27">
      <w:pPr>
        <w:pStyle w:val="ConsPlusNormal"/>
        <w:outlineLvl w:val="0"/>
      </w:pPr>
      <w:r>
        <w:t>Зарегистрировано в Минюсте России 1 апреля 2013 г. N 27946</w:t>
      </w:r>
    </w:p>
    <w:p w:rsidR="00000000" w:rsidRDefault="00B17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7E27">
      <w:pPr>
        <w:pStyle w:val="ConsPlusNormal"/>
      </w:pPr>
    </w:p>
    <w:p w:rsidR="00000000" w:rsidRDefault="00B17E2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17E27">
      <w:pPr>
        <w:pStyle w:val="ConsPlusTitle"/>
        <w:jc w:val="center"/>
      </w:pPr>
    </w:p>
    <w:p w:rsidR="00000000" w:rsidRDefault="00B17E27">
      <w:pPr>
        <w:pStyle w:val="ConsPlusTitle"/>
        <w:jc w:val="center"/>
      </w:pPr>
      <w:r>
        <w:t>ПРИКАЗ</w:t>
      </w:r>
    </w:p>
    <w:p w:rsidR="00000000" w:rsidRDefault="00B17E27">
      <w:pPr>
        <w:pStyle w:val="ConsPlusTitle"/>
        <w:jc w:val="center"/>
      </w:pPr>
      <w:r>
        <w:t>от 29 декабря 2012 г. N 1752н</w:t>
      </w:r>
    </w:p>
    <w:p w:rsidR="00000000" w:rsidRDefault="00B17E27">
      <w:pPr>
        <w:pStyle w:val="ConsPlusTitle"/>
        <w:jc w:val="center"/>
      </w:pPr>
    </w:p>
    <w:p w:rsidR="00000000" w:rsidRDefault="00B17E27">
      <w:pPr>
        <w:pStyle w:val="ConsPlusTitle"/>
        <w:jc w:val="center"/>
      </w:pPr>
      <w:r>
        <w:t>ОБ УТВЕРЖДЕНИИ СТАНДАРТА</w:t>
      </w:r>
    </w:p>
    <w:p w:rsidR="00000000" w:rsidRDefault="00B17E27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B17E27">
      <w:pPr>
        <w:pStyle w:val="ConsPlusTitle"/>
        <w:jc w:val="center"/>
      </w:pPr>
      <w:r>
        <w:t>ПРИ ПРОПИОНОВОЙ АЦИДЕМИИ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</w:t>
      </w:r>
      <w:r>
        <w:t xml:space="preserve"> законодательства Российской Федерации, 2011, N 48, ст. 6724; 2012, N 26, ст. 3442, 3446) приказываю: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пропионовой ацидемии согласно приложению.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jc w:val="right"/>
      </w:pPr>
      <w:r>
        <w:t>Министр</w:t>
      </w:r>
    </w:p>
    <w:p w:rsidR="00000000" w:rsidRDefault="00B17E27">
      <w:pPr>
        <w:pStyle w:val="ConsPlusNormal"/>
        <w:jc w:val="right"/>
      </w:pPr>
      <w:r>
        <w:t>В.И.СКВОРЦОВА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jc w:val="right"/>
        <w:outlineLvl w:val="0"/>
      </w:pPr>
      <w:r>
        <w:t>Приложение</w:t>
      </w:r>
    </w:p>
    <w:p w:rsidR="00000000" w:rsidRDefault="00B17E2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17E27">
      <w:pPr>
        <w:pStyle w:val="ConsPlusNormal"/>
        <w:jc w:val="right"/>
      </w:pPr>
      <w:r>
        <w:t>Российской Федерации</w:t>
      </w:r>
    </w:p>
    <w:p w:rsidR="00000000" w:rsidRDefault="00B17E27">
      <w:pPr>
        <w:pStyle w:val="ConsPlusNormal"/>
        <w:jc w:val="right"/>
      </w:pPr>
      <w:r>
        <w:t>от 29 декабря 2012 г. N 1752н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17E27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B17E27">
      <w:pPr>
        <w:pStyle w:val="ConsPlusTitle"/>
        <w:jc w:val="center"/>
      </w:pPr>
      <w:r>
        <w:t>ПРИ ПРОПИОНОВОЙ АЦИДЕМИИ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5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17E27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E71.1</w:t>
        </w:r>
      </w:hyperlink>
      <w:r>
        <w:t xml:space="preserve">  Другие виды нарушений обмена аминокислот</w:t>
      </w:r>
    </w:p>
    <w:p w:rsidR="00000000" w:rsidRDefault="00B17E27">
      <w:pPr>
        <w:pStyle w:val="ConsPlusCell"/>
        <w:jc w:val="both"/>
      </w:pPr>
      <w:r>
        <w:t xml:space="preserve">                                   с разветвленной цепью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  <w:outlineLvl w:val="1"/>
      </w:pPr>
      <w:r>
        <w:t>1. Медицинские мероприя</w:t>
      </w:r>
      <w:r>
        <w:t>тия для диагностики заболевания, состояния</w:t>
      </w:r>
    </w:p>
    <w:p w:rsidR="00000000" w:rsidRDefault="00B17E2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 xml:space="preserve">Прием (осмотр, консультация) врача-специалиста               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  <w:p w:rsidR="00000000" w:rsidRPr="00B17E27" w:rsidRDefault="00B17E27">
            <w:pPr>
              <w:pStyle w:val="ConsPlusNonformat"/>
              <w:jc w:val="both"/>
            </w:pPr>
            <w:hyperlink w:anchor="Par10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17E27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Усредненный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B01.004.001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гастроэнтеролога первичный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B01.006.001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</w:t>
            </w:r>
            <w:r w:rsidRPr="00B17E27">
              <w:t xml:space="preserve">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генетика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B01.008.001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дерматовенеролога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B01.013.001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диетолога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B01.015.003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 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детского кардиолога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</w:t>
            </w:r>
            <w:r w:rsidRPr="00B17E27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B01.023.001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B01.025.001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нефролога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B01.029.001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B01.031.003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педиатра участкового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B01.035.007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психиатра детского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участкового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</w:tbl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B17E27">
      <w:pPr>
        <w:pStyle w:val="ConsPlusNormal"/>
        <w:spacing w:before="200"/>
        <w:ind w:firstLine="540"/>
        <w:jc w:val="both"/>
      </w:pPr>
      <w:bookmarkStart w:id="2" w:name="Par105"/>
      <w:bookmarkEnd w:id="2"/>
      <w:r>
        <w:t xml:space="preserve">&lt;1&gt; Вероятность предоставления медицинских услуг или назначения лекарственных препаратов для </w:t>
      </w:r>
      <w:r>
        <w:lastRenderedPageBreak/>
        <w:t>медицинского применения (медицинских изделий), включенных в стандарт медицинской помощи, которая может принимать значения от 0</w:t>
      </w:r>
      <w:r>
        <w:t xml:space="preserve">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17E2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>Лабораторные методы иссл</w:t>
            </w:r>
            <w:r w:rsidRPr="00B17E27">
              <w:t xml:space="preserve">едования                             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Усредненный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общего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глобулина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Определение   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альбумин/глобулинового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аммиака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общего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неорганического фосфора в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концентрации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водородных ионов (pH)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2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A09.05.04</w:t>
            </w:r>
            <w:r w:rsidRPr="00B17E27">
              <w:t xml:space="preserve">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A09.05.099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аминокислотного состава 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концентрации аминокислот в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A09.05.206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ионизированного кальция в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A09.05.207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молочной кислоты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Исследо</w:t>
            </w:r>
            <w:r w:rsidRPr="00B17E27">
              <w:t xml:space="preserve">вание аминокислот и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метаболитов в моче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A09.28.006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креатинина в моче (проба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Реберга)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A09.28.021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A12.05.056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Идентификация генов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A12.05.056.002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Идентификация генов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методом полимеразной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цепной реакции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lastRenderedPageBreak/>
              <w:t xml:space="preserve">A26.28.003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Микробиологическое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мочи на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аэробные и факультативно-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анаэробные условно-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Общий (клинический) анализ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  <w:r w:rsidRPr="00B17E27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Анализ крови биохимический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</w:tbl>
    <w:p w:rsidR="00000000" w:rsidRDefault="00B17E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 xml:space="preserve">Инструментальные методы исследования                         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Усредненный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A04.23.001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Нейросонография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Регистрация   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>электр</w:t>
            </w:r>
            <w:r w:rsidRPr="00B17E27">
              <w:t xml:space="preserve">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A05.23.001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A05.23.009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Магнитно-резонансная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B03.052.001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Комплексное ультразвуковое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внутренних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органов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</w:tbl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17E2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Усредненны</w:t>
            </w:r>
            <w:r w:rsidRPr="00B17E27">
              <w:t xml:space="preserve">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B01.004.002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>гастроэнтеролога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B01.006.002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генетика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B01.008.002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дерматовенеролога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B01.013.002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lastRenderedPageBreak/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диетолога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lastRenderedPageBreak/>
              <w:t xml:space="preserve">B01.015.004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 -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детского кардиолога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</w:t>
            </w:r>
            <w:r w:rsidRPr="00B17E27">
              <w:t xml:space="preserve">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B01.023.002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невролога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B01.025.002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нефролога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2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B01.031.004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педиатра участкового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5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B01.035.008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Прием (осмотр,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консультация) врача-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>психиатра детск</w:t>
            </w:r>
            <w:r w:rsidRPr="00B17E27">
              <w:t xml:space="preserve">ого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участкового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B01.054.001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Осмотр (консультация)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</w:tbl>
    <w:p w:rsidR="00000000" w:rsidRDefault="00B17E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 xml:space="preserve">Наблюдение и уход за пациентом медицинскими работниками со средним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(начальным) профессиональным образованием                    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Усредненный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B02.031.001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Патронаж педиатрической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сестры на дому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            </w:t>
            </w:r>
          </w:p>
        </w:tc>
      </w:tr>
    </w:tbl>
    <w:p w:rsidR="00000000" w:rsidRDefault="00B17E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 xml:space="preserve">Лабораторные методы исследования                             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Код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медицинской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услуги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Наименование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услуги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Усредненный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показатель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частоты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Усредненный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кратности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применения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Исследование уровня железа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>сы</w:t>
            </w:r>
            <w:r w:rsidRPr="00B17E27">
              <w:t xml:space="preserve">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Исследование уровня общего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глобулина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A09.05.013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Определение      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альбумин/глобулинового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соотношения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A09.05.016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аммиака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lastRenderedPageBreak/>
              <w:t xml:space="preserve">A09.05.032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Исследование уровня общего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кальция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A09.05.033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Иссл</w:t>
            </w:r>
            <w:r w:rsidRPr="00B17E27">
              <w:t xml:space="preserve">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неорганического фосфора в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A09.05.037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концентрации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водородных ионов (pH)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A09.05.046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>щелочной фосфатазы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A09.05.099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аминокислотного состава и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>концентрации аминокислот в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A09.05.206   </w:t>
            </w:r>
            <w:r w:rsidRPr="00B17E27">
              <w:t xml:space="preserve">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ионизированного кальция в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A09.28.006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креатинина в моче (проба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Реберга)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A09.28.012 </w:t>
            </w:r>
            <w:r w:rsidRPr="00B17E27">
              <w:t xml:space="preserve">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уровня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кальция в моче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A09.28.015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Обнаружение кетоновых тел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в моче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Общий (клинический) анализ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Анализ крови биохимический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            </w:t>
            </w:r>
          </w:p>
        </w:tc>
      </w:tr>
    </w:tbl>
    <w:p w:rsidR="00000000" w:rsidRDefault="00B17E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 xml:space="preserve">Инструментальные методы исследования                         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Усредненны</w:t>
            </w:r>
            <w:r w:rsidRPr="00B17E27">
              <w:t xml:space="preserve">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A05.23.001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Электроэнцефалография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B03.052.001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>Комплексное ультразвуковое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исследование внутренних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</w:t>
            </w:r>
          </w:p>
        </w:tc>
      </w:tr>
    </w:tbl>
    <w:p w:rsidR="00000000" w:rsidRDefault="00B17E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B17E2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outlineLvl w:val="2"/>
            </w:pPr>
            <w:r w:rsidRPr="00B17E27">
              <w:t>Немедикаментозные методы профилактики, лечения и медицинской реабилитации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Код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медицинской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Наименование медицинской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Усредненный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показатель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  частоты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Ус</w:t>
            </w:r>
            <w:r w:rsidRPr="00B17E27">
              <w:t xml:space="preserve">редненный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показатель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 кратности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 применения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lastRenderedPageBreak/>
              <w:t xml:space="preserve">A13.29.003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Психологическая адаптация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2 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A19.23.002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Лечебная физкультура при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заболеваниях центральной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нервной системы и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20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A19.23.002.016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Механотерапия при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заболеваниях центральной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нервной системы и      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головного мозга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10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A21.23.001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Массаж при заболеваниях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центральной нервной      </w:t>
            </w:r>
            <w:r w:rsidRPr="00B17E27">
              <w:t xml:space="preserve">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20           </w:t>
            </w:r>
          </w:p>
        </w:tc>
      </w:tr>
      <w:tr w:rsidR="00000000" w:rsidRPr="00B17E2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A21.30.003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Массаж при заболеваниях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нервной системы у детей   </w:t>
            </w:r>
          </w:p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раннего возраста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</w:pPr>
            <w:r w:rsidRPr="00B17E27">
              <w:t xml:space="preserve">40           </w:t>
            </w:r>
          </w:p>
        </w:tc>
      </w:tr>
    </w:tbl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17E2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376"/>
        <w:gridCol w:w="2376"/>
        <w:gridCol w:w="1728"/>
        <w:gridCol w:w="1188"/>
        <w:gridCol w:w="864"/>
        <w:gridCol w:w="864"/>
      </w:tblGrid>
      <w:tr w:rsidR="00000000" w:rsidRPr="00B17E27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   Анатомо- 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классификация   </w:t>
            </w:r>
            <w:r w:rsidRPr="00B17E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 Наименование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лекарственного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препарата </w:t>
            </w:r>
            <w:hyperlink w:anchor="Par45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17E27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</w:t>
            </w:r>
            <w:r w:rsidRPr="00B17E27">
              <w:rPr>
                <w:sz w:val="18"/>
                <w:szCs w:val="18"/>
              </w:rPr>
              <w:t xml:space="preserve">Усредненный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показатель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  частоты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Единицы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ССД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52" w:tooltip="&lt;***&gt; Средняя суточная доза." w:history="1">
              <w:r w:rsidRPr="00B17E27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 СКД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53" w:tooltip="&lt;****&gt; Средняя курсовая доза." w:history="1">
              <w:r w:rsidRPr="00B17E27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A11CC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Витамин D и его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аналоги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Колекальциферол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90000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A11DA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Витамин B1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Тиамин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1050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A11HA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Другие витаминные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0,462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Пиридоксин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1800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Рибофлавин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600 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A12AA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Препараты кальция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Кальция глюконат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22,5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A16AA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Аминокислоты и их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производные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Левокарнитин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365000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B05XA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Растворы       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электролитов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Натрия гидрокарбонат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3   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J01CA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Пенициллины широкого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спектра действия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Ампициллин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21000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lastRenderedPageBreak/>
              <w:t xml:space="preserve">J01XD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имидазола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Метронидазол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8400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N03AF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карбоксамида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Карбамазепин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219000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N03AG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Производные жирных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кислот           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Вальпроевая кислота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547500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N06BX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Другие            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психостимуляторы и  </w:t>
            </w:r>
          </w:p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ноотропные препараты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Глицин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54000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>Гопантеновая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90    </w:t>
            </w:r>
          </w:p>
        </w:tc>
      </w:tr>
      <w:tr w:rsidR="00000000" w:rsidRPr="00B17E27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Пирацетам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800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7E27" w:rsidRDefault="00B17E27">
            <w:pPr>
              <w:pStyle w:val="ConsPlusNonformat"/>
              <w:jc w:val="both"/>
              <w:rPr>
                <w:sz w:val="18"/>
                <w:szCs w:val="18"/>
              </w:rPr>
            </w:pPr>
            <w:r w:rsidRPr="00B17E27">
              <w:rPr>
                <w:sz w:val="18"/>
                <w:szCs w:val="18"/>
              </w:rPr>
              <w:t xml:space="preserve">24000 </w:t>
            </w:r>
          </w:p>
        </w:tc>
      </w:tr>
    </w:tbl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  <w:r>
        <w:t>--------------------------------</w:t>
      </w:r>
    </w:p>
    <w:p w:rsidR="00000000" w:rsidRDefault="00B17E27">
      <w:pPr>
        <w:pStyle w:val="ConsPlusNormal"/>
        <w:spacing w:before="200"/>
        <w:ind w:firstLine="540"/>
        <w:jc w:val="both"/>
      </w:pPr>
      <w:bookmarkStart w:id="3" w:name="Par450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B17E27">
      <w:pPr>
        <w:pStyle w:val="ConsPlusNormal"/>
        <w:spacing w:before="200"/>
        <w:ind w:firstLine="540"/>
        <w:jc w:val="both"/>
      </w:pPr>
      <w:bookmarkStart w:id="4" w:name="Par45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17E27">
      <w:pPr>
        <w:pStyle w:val="ConsPlusNormal"/>
        <w:spacing w:before="200"/>
        <w:ind w:firstLine="540"/>
        <w:jc w:val="both"/>
      </w:pPr>
      <w:bookmarkStart w:id="5" w:name="Par452"/>
      <w:bookmarkEnd w:id="5"/>
      <w:r>
        <w:t>&lt;***&gt; Средняя суточная доза.</w:t>
      </w:r>
    </w:p>
    <w:p w:rsidR="00000000" w:rsidRDefault="00B17E27">
      <w:pPr>
        <w:pStyle w:val="ConsPlusNormal"/>
        <w:spacing w:before="200"/>
        <w:ind w:firstLine="540"/>
        <w:jc w:val="both"/>
      </w:pPr>
      <w:bookmarkStart w:id="6" w:name="Par453"/>
      <w:bookmarkEnd w:id="6"/>
      <w:r>
        <w:t>&lt;****&gt; Средняя курсовая доза.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  <w:r>
        <w:t>Примечания: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B17E27">
      <w:pPr>
        <w:pStyle w:val="ConsPlusNormal"/>
        <w:spacing w:before="200"/>
        <w:ind w:firstLine="540"/>
        <w:jc w:val="both"/>
      </w:pPr>
      <w:r>
        <w:t>3. Гра</w:t>
      </w:r>
      <w:r>
        <w:t xml:space="preserve">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</w:t>
      </w:r>
      <w:r>
        <w:t>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</w:t>
      </w:r>
      <w:r>
        <w:t xml:space="preserve">рственной социальной помощи в виде набора социальных услуг, при оказании медицинской помощи в амбулаторных условиях обеспечиваются лекарственными </w:t>
      </w:r>
      <w:r>
        <w:lastRenderedPageBreak/>
        <w:t xml:space="preserve">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</w:t>
      </w:r>
      <w:r>
        <w:t>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</w:t>
      </w:r>
      <w:r>
        <w:t>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</w:t>
      </w:r>
      <w:r>
        <w:t xml:space="preserve">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</w:t>
      </w:r>
      <w:r>
        <w:t xml:space="preserve">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</w:t>
      </w:r>
      <w:r>
        <w:t xml:space="preserve">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</w:t>
      </w:r>
      <w:r>
        <w:t>и 23.11.2011, регистрационный N 22368).</w:t>
      </w:r>
    </w:p>
    <w:p w:rsidR="00000000" w:rsidRDefault="00B17E27">
      <w:pPr>
        <w:pStyle w:val="ConsPlusNormal"/>
        <w:ind w:firstLine="540"/>
        <w:jc w:val="both"/>
      </w:pPr>
    </w:p>
    <w:p w:rsidR="00000000" w:rsidRDefault="00B17E27">
      <w:pPr>
        <w:pStyle w:val="ConsPlusNormal"/>
        <w:ind w:firstLine="540"/>
        <w:jc w:val="both"/>
      </w:pPr>
    </w:p>
    <w:p w:rsidR="00B17E27" w:rsidRDefault="00B17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7E27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7" w:rsidRDefault="00B17E27">
      <w:pPr>
        <w:spacing w:after="0" w:line="240" w:lineRule="auto"/>
      </w:pPr>
      <w:r>
        <w:separator/>
      </w:r>
    </w:p>
  </w:endnote>
  <w:endnote w:type="continuationSeparator" w:id="0">
    <w:p w:rsidR="00B17E27" w:rsidRDefault="00B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7E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7E2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E27" w:rsidRDefault="00B17E2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17E2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17E2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E27" w:rsidRDefault="00B17E2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17E2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E27" w:rsidRDefault="00B17E27">
          <w:pPr>
            <w:pStyle w:val="ConsPlusNormal"/>
            <w:jc w:val="right"/>
          </w:pPr>
          <w:r w:rsidRPr="00B17E27">
            <w:t xml:space="preserve">Страница </w:t>
          </w:r>
          <w:r w:rsidRPr="00B17E27">
            <w:fldChar w:fldCharType="begin"/>
          </w:r>
          <w:r w:rsidRPr="00B17E27">
            <w:instrText>\PAGE</w:instrText>
          </w:r>
          <w:r w:rsidR="00A31991" w:rsidRPr="00B17E27">
            <w:fldChar w:fldCharType="separate"/>
          </w:r>
          <w:r w:rsidR="00A31991" w:rsidRPr="00B17E27">
            <w:rPr>
              <w:noProof/>
            </w:rPr>
            <w:t>10</w:t>
          </w:r>
          <w:r w:rsidRPr="00B17E27">
            <w:fldChar w:fldCharType="end"/>
          </w:r>
          <w:r w:rsidRPr="00B17E27">
            <w:t xml:space="preserve"> из </w:t>
          </w:r>
          <w:r w:rsidRPr="00B17E27">
            <w:fldChar w:fldCharType="begin"/>
          </w:r>
          <w:r w:rsidRPr="00B17E27">
            <w:instrText>\NUMPAGES</w:instrText>
          </w:r>
          <w:r w:rsidR="00A31991" w:rsidRPr="00B17E27">
            <w:fldChar w:fldCharType="separate"/>
          </w:r>
          <w:r w:rsidR="00A31991" w:rsidRPr="00B17E27">
            <w:rPr>
              <w:noProof/>
            </w:rPr>
            <w:t>10</w:t>
          </w:r>
          <w:r w:rsidRPr="00B17E27">
            <w:fldChar w:fldCharType="end"/>
          </w:r>
        </w:p>
      </w:tc>
    </w:tr>
  </w:tbl>
  <w:p w:rsidR="00000000" w:rsidRDefault="00B17E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7" w:rsidRDefault="00B17E27">
      <w:pPr>
        <w:spacing w:after="0" w:line="240" w:lineRule="auto"/>
      </w:pPr>
      <w:r>
        <w:separator/>
      </w:r>
    </w:p>
  </w:footnote>
  <w:footnote w:type="continuationSeparator" w:id="0">
    <w:p w:rsidR="00B17E27" w:rsidRDefault="00B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7E2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E27" w:rsidRDefault="00B17E27">
          <w:pPr>
            <w:pStyle w:val="ConsPlusNormal"/>
            <w:rPr>
              <w:sz w:val="16"/>
              <w:szCs w:val="16"/>
            </w:rPr>
          </w:pPr>
          <w:r w:rsidRPr="00B17E27">
            <w:rPr>
              <w:sz w:val="16"/>
              <w:szCs w:val="16"/>
            </w:rPr>
            <w:t>Приказ Минздрава России от 29.12.2012 N 1752н</w:t>
          </w:r>
          <w:r w:rsidRPr="00B17E27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B17E27">
            <w:rPr>
              <w:sz w:val="16"/>
              <w:szCs w:val="16"/>
            </w:rPr>
            <w:t>арной помощи детям при про...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E27" w:rsidRDefault="00B17E2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17E27" w:rsidRDefault="00B17E2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7E27" w:rsidRDefault="00B17E27">
          <w:pPr>
            <w:pStyle w:val="ConsPlusNormal"/>
            <w:jc w:val="right"/>
            <w:rPr>
              <w:sz w:val="16"/>
              <w:szCs w:val="16"/>
            </w:rPr>
          </w:pPr>
          <w:r w:rsidRPr="00B17E2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17E2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17E27">
            <w:rPr>
              <w:sz w:val="18"/>
              <w:szCs w:val="18"/>
            </w:rPr>
            <w:br/>
          </w:r>
          <w:r w:rsidRPr="00B17E27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B17E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7E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991"/>
    <w:rsid w:val="00A31991"/>
    <w:rsid w:val="00B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EC1F818F6A37571AC3D35AE7B1C5959CBD6A7950E3547B460252288CD37A3E3A1858C3E365GEe7K" TargetMode="External"/><Relationship Id="rId13" Type="http://schemas.openxmlformats.org/officeDocument/2006/relationships/hyperlink" Target="consultantplus://offline/ref=4DB2EC1F818F6A37571ADCCC5CE7B1C5939CBF6E795EBE5E731F0E502FG8e3K" TargetMode="External"/><Relationship Id="rId18" Type="http://schemas.openxmlformats.org/officeDocument/2006/relationships/hyperlink" Target="consultantplus://offline/ref=4DB2EC1F818F6A37571AC3D35AE7B1C59199B16C7F50E3547B460252G2e8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DB2EC1F818F6A37571AC3D35AE7B1C5959CBD6A7950E3547B460252288CD37A3E3A1858C3E46DGEe1K" TargetMode="External"/><Relationship Id="rId17" Type="http://schemas.openxmlformats.org/officeDocument/2006/relationships/hyperlink" Target="consultantplus://offline/ref=4DB2EC1F818F6A37571AC3D35AE7B1C59199BD647950E3547B460252G2e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B2EC1F818F6A37571AC3D35AE7B1C59198BD6A7B50E3547B460252G2e8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B2EC1F818F6A37571AC3D35AE7B1C59391B06C720DE95C224A00G5e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DB2EC1F818F6A37571AC3D35AE7B1C5909EB06B7950E3547B460252G2e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B2EC1F818F6A37571AC3D35AE7B1C59391B06C720DE95C224A005527D3C47D77361A50C7E0G6eCK" TargetMode="External"/><Relationship Id="rId19" Type="http://schemas.openxmlformats.org/officeDocument/2006/relationships/hyperlink" Target="consultantplus://offline/ref=4DB2EC1F818F6A37571AC3D35AE7B1C5969CBF697B50E3547B460252G2e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B2EC1F818F6A37571AC3D35AE7B1C59391B06C720DE95C224A00G5e5K" TargetMode="External"/><Relationship Id="rId14" Type="http://schemas.openxmlformats.org/officeDocument/2006/relationships/hyperlink" Target="consultantplus://offline/ref=4DB2EC1F818F6A37571AC3D35AE7B1C5969CB16D7D50E3547B460252288CD37A3E3A1858C3E668GEe3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3631</Words>
  <Characters>20697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1752н"Об утверждении стандарта первичной медико-санитарной помощи детям при пропионовой ацидемии"(Зарегистрировано в Минюсте России 01.04.2013 N 27946)</vt:lpstr>
    </vt:vector>
  </TitlesOfParts>
  <Company>КонсультантПлюс Версия 4016.00.46</Company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1752н"Об утверждении стандарта первичной медико-санитарной помощи детям при пропионовой ацидемии"(Зарегистрировано в Минюсте России 01.04.2013 N 27946)</dc:title>
  <dc:creator>Муржак Ирина Дмитриевна</dc:creator>
  <cp:lastModifiedBy>Муржак Ирина Дмитриевна</cp:lastModifiedBy>
  <cp:revision>2</cp:revision>
  <dcterms:created xsi:type="dcterms:W3CDTF">2017-07-21T07:24:00Z</dcterms:created>
  <dcterms:modified xsi:type="dcterms:W3CDTF">2017-07-21T07:24:00Z</dcterms:modified>
</cp:coreProperties>
</file>