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200858">
        <w:trPr>
          <w:trHeight w:hRule="exact" w:val="3031"/>
        </w:trPr>
        <w:tc>
          <w:tcPr>
            <w:tcW w:w="10716" w:type="dxa"/>
          </w:tcPr>
          <w:p w:rsidR="00000000" w:rsidRPr="00200858" w:rsidRDefault="00200858">
            <w:pPr>
              <w:pStyle w:val="ConsPlusTitlePage"/>
            </w:pPr>
            <w:bookmarkStart w:id="0" w:name="_GoBack"/>
            <w:bookmarkEnd w:id="0"/>
            <w:r w:rsidRPr="0020085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200858">
        <w:trPr>
          <w:trHeight w:hRule="exact" w:val="8335"/>
        </w:trPr>
        <w:tc>
          <w:tcPr>
            <w:tcW w:w="10716" w:type="dxa"/>
            <w:vAlign w:val="center"/>
          </w:tcPr>
          <w:p w:rsidR="00000000" w:rsidRPr="00200858" w:rsidRDefault="0020085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200858">
              <w:rPr>
                <w:sz w:val="48"/>
                <w:szCs w:val="48"/>
              </w:rPr>
              <w:t xml:space="preserve"> Приказ Минздрава России от 29.12.2012 N 1701н</w:t>
            </w:r>
            <w:r w:rsidRPr="00200858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мышечной дистонии"</w:t>
            </w:r>
            <w:r w:rsidRPr="00200858">
              <w:rPr>
                <w:sz w:val="48"/>
                <w:szCs w:val="48"/>
              </w:rPr>
              <w:br/>
              <w:t>(Зарегистрировано в Минюсте России 01.04.2013 N 27956)</w:t>
            </w:r>
          </w:p>
        </w:tc>
      </w:tr>
      <w:tr w:rsidR="00000000" w:rsidRPr="00200858">
        <w:trPr>
          <w:trHeight w:hRule="exact" w:val="3031"/>
        </w:trPr>
        <w:tc>
          <w:tcPr>
            <w:tcW w:w="10716" w:type="dxa"/>
            <w:vAlign w:val="center"/>
          </w:tcPr>
          <w:p w:rsidR="00000000" w:rsidRPr="00200858" w:rsidRDefault="0020085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200858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20085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20085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20085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200858">
              <w:rPr>
                <w:sz w:val="28"/>
                <w:szCs w:val="28"/>
              </w:rPr>
              <w:t xml:space="preserve"> </w:t>
            </w:r>
            <w:r w:rsidRPr="00200858">
              <w:rPr>
                <w:sz w:val="28"/>
                <w:szCs w:val="28"/>
              </w:rPr>
              <w:br/>
            </w:r>
            <w:r w:rsidRPr="00200858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200858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200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00858">
      <w:pPr>
        <w:pStyle w:val="ConsPlusNormal"/>
        <w:jc w:val="both"/>
        <w:outlineLvl w:val="0"/>
      </w:pPr>
    </w:p>
    <w:p w:rsidR="00000000" w:rsidRDefault="00200858">
      <w:pPr>
        <w:pStyle w:val="ConsPlusNormal"/>
        <w:outlineLvl w:val="0"/>
      </w:pPr>
      <w:r>
        <w:t>Зарегистрировано в Минюсте России 1 апреля 2013 г. N 27956</w:t>
      </w:r>
    </w:p>
    <w:p w:rsidR="00000000" w:rsidRDefault="00200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00858">
      <w:pPr>
        <w:pStyle w:val="ConsPlusNormal"/>
      </w:pPr>
    </w:p>
    <w:p w:rsidR="00000000" w:rsidRDefault="0020085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200858">
      <w:pPr>
        <w:pStyle w:val="ConsPlusTitle"/>
        <w:jc w:val="center"/>
      </w:pPr>
    </w:p>
    <w:p w:rsidR="00000000" w:rsidRDefault="00200858">
      <w:pPr>
        <w:pStyle w:val="ConsPlusTitle"/>
        <w:jc w:val="center"/>
      </w:pPr>
      <w:r>
        <w:t>ПРИКАЗ</w:t>
      </w:r>
    </w:p>
    <w:p w:rsidR="00000000" w:rsidRDefault="00200858">
      <w:pPr>
        <w:pStyle w:val="ConsPlusTitle"/>
        <w:jc w:val="center"/>
      </w:pPr>
      <w:r>
        <w:t>от 29 декабря 2012 г. N 1701н</w:t>
      </w:r>
    </w:p>
    <w:p w:rsidR="00000000" w:rsidRDefault="00200858">
      <w:pPr>
        <w:pStyle w:val="ConsPlusTitle"/>
        <w:jc w:val="center"/>
      </w:pPr>
    </w:p>
    <w:p w:rsidR="00000000" w:rsidRDefault="00200858">
      <w:pPr>
        <w:pStyle w:val="ConsPlusTitle"/>
        <w:jc w:val="center"/>
      </w:pPr>
      <w:r>
        <w:t>ОБ УТВЕРЖДЕНИИ СТАНДАРТА</w:t>
      </w:r>
    </w:p>
    <w:p w:rsidR="00000000" w:rsidRDefault="00200858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200858">
      <w:pPr>
        <w:pStyle w:val="ConsPlusTitle"/>
        <w:jc w:val="center"/>
      </w:pPr>
      <w:r>
        <w:t>ПРИ МЫШЕЧНОЙ ДИСТОНИИ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</w:t>
      </w:r>
      <w:r>
        <w:t xml:space="preserve"> законодательства Российской Федерации, 2011, N 48, ст. 6724; 2012, N 26, ст. 3442, 3446) приказываю: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мышечной дистонии согласно приложению.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jc w:val="right"/>
      </w:pPr>
      <w:r>
        <w:t>Министр</w:t>
      </w:r>
    </w:p>
    <w:p w:rsidR="00000000" w:rsidRDefault="00200858">
      <w:pPr>
        <w:pStyle w:val="ConsPlusNormal"/>
        <w:jc w:val="right"/>
      </w:pPr>
      <w:r>
        <w:t>В.И.СКВОРЦОВА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jc w:val="right"/>
      </w:pPr>
    </w:p>
    <w:p w:rsidR="00000000" w:rsidRDefault="00200858">
      <w:pPr>
        <w:pStyle w:val="ConsPlusNormal"/>
        <w:jc w:val="right"/>
      </w:pPr>
    </w:p>
    <w:p w:rsidR="00000000" w:rsidRDefault="00200858">
      <w:pPr>
        <w:pStyle w:val="ConsPlusNormal"/>
        <w:jc w:val="right"/>
        <w:outlineLvl w:val="0"/>
      </w:pPr>
      <w:r>
        <w:t>Приложение</w:t>
      </w:r>
    </w:p>
    <w:p w:rsidR="00000000" w:rsidRDefault="00200858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200858">
      <w:pPr>
        <w:pStyle w:val="ConsPlusNormal"/>
        <w:jc w:val="right"/>
      </w:pPr>
      <w:r>
        <w:t>Российской Федерации</w:t>
      </w:r>
    </w:p>
    <w:p w:rsidR="00000000" w:rsidRDefault="00200858">
      <w:pPr>
        <w:pStyle w:val="ConsPlusNormal"/>
        <w:jc w:val="right"/>
      </w:pPr>
      <w:r>
        <w:t>от 29 декабря 2012 г. N 1701н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200858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200858">
      <w:pPr>
        <w:pStyle w:val="ConsPlusTitle"/>
        <w:jc w:val="center"/>
      </w:pPr>
      <w:r>
        <w:t>ПРИ МЫШЕЧНОЙ ДИСТОНИИ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помощь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стационарно, в дневном стационаре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Средние сроки лечения (количество дней): 30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34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  <w:r>
        <w:t xml:space="preserve">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G24.0</w:t>
        </w:r>
      </w:hyperlink>
      <w:r>
        <w:t xml:space="preserve">  Дистония, вызванная лекарственными</w:t>
      </w:r>
    </w:p>
    <w:p w:rsidR="00000000" w:rsidRDefault="00200858">
      <w:pPr>
        <w:pStyle w:val="ConsPlusCell"/>
        <w:jc w:val="both"/>
      </w:pPr>
      <w:r>
        <w:t xml:space="preserve">    Нозологические единицы             средствами</w:t>
      </w:r>
    </w:p>
    <w:p w:rsidR="00000000" w:rsidRDefault="00200858">
      <w:pPr>
        <w:pStyle w:val="ConsPlusCell"/>
        <w:jc w:val="both"/>
      </w:pPr>
      <w:r>
        <w:t xml:space="preserve">                      </w:t>
      </w:r>
      <w:r>
        <w:t xml:space="preserve">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G24.1</w:t>
        </w:r>
      </w:hyperlink>
      <w:r>
        <w:t xml:space="preserve">  Идиопа</w:t>
      </w:r>
      <w:r>
        <w:t>тическая семейная дистония</w:t>
      </w:r>
    </w:p>
    <w:p w:rsidR="00000000" w:rsidRDefault="00200858">
      <w:pPr>
        <w:pStyle w:val="ConsPlusCell"/>
        <w:jc w:val="both"/>
      </w:pPr>
      <w:r>
        <w:t xml:space="preserve">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G24.2</w:t>
        </w:r>
      </w:hyperlink>
      <w:r>
        <w:t xml:space="preserve">  Идиопатическая несемейная дистония</w:t>
      </w:r>
    </w:p>
    <w:p w:rsidR="00000000" w:rsidRDefault="00200858">
      <w:pPr>
        <w:pStyle w:val="ConsPlusCell"/>
        <w:jc w:val="both"/>
      </w:pPr>
      <w:r>
        <w:lastRenderedPageBreak/>
        <w:t xml:space="preserve">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G24.3</w:t>
        </w:r>
      </w:hyperlink>
      <w:r>
        <w:t xml:space="preserve">  Спастическая кривошея</w:t>
      </w:r>
    </w:p>
    <w:p w:rsidR="00000000" w:rsidRDefault="00200858">
      <w:pPr>
        <w:pStyle w:val="ConsPlusCell"/>
        <w:jc w:val="both"/>
      </w:pPr>
      <w:r>
        <w:t xml:space="preserve">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G24.4</w:t>
        </w:r>
      </w:hyperlink>
      <w:r>
        <w:t xml:space="preserve">  Идиопатическая рото-лицевая дистония</w:t>
      </w:r>
    </w:p>
    <w:p w:rsidR="00000000" w:rsidRDefault="00200858">
      <w:pPr>
        <w:pStyle w:val="ConsPlusCell"/>
        <w:jc w:val="both"/>
      </w:pPr>
      <w:r>
        <w:t xml:space="preserve">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G24.5</w:t>
        </w:r>
      </w:hyperlink>
      <w:r>
        <w:t xml:space="preserve">  Блефароспазм</w:t>
      </w:r>
    </w:p>
    <w:p w:rsidR="00000000" w:rsidRDefault="00200858">
      <w:pPr>
        <w:pStyle w:val="ConsPlusCell"/>
        <w:jc w:val="both"/>
      </w:pPr>
      <w:r>
        <w:t xml:space="preserve">    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G24.8</w:t>
        </w:r>
      </w:hyperlink>
      <w:r>
        <w:t xml:space="preserve">  Прочие дистонии</w:t>
      </w:r>
    </w:p>
    <w:p w:rsidR="00000000" w:rsidRDefault="00200858">
      <w:pPr>
        <w:pStyle w:val="ConsPlusCell"/>
        <w:jc w:val="both"/>
      </w:pPr>
      <w:r>
        <w:t xml:space="preserve">                          </w:t>
      </w:r>
      <w:r>
        <w:t xml:space="preserve">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G24.9</w:t>
        </w:r>
      </w:hyperlink>
      <w:r>
        <w:t xml:space="preserve">  Дистония н</w:t>
      </w:r>
      <w:r>
        <w:t>еуточненная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20085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 xml:space="preserve">Прием (осмотр, консультация) врача-специалиста              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Наименование медицинской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  <w:p w:rsidR="00000000" w:rsidRPr="00200858" w:rsidRDefault="00200858">
            <w:pPr>
              <w:pStyle w:val="ConsPlusNonformat"/>
              <w:jc w:val="both"/>
            </w:pPr>
            <w:hyperlink w:anchor="Par8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200858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применения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B01.006.001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генетика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0,8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B01.023.001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</w:t>
            </w:r>
            <w:r w:rsidRPr="00200858">
              <w:t xml:space="preserve">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невролога первичный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B01.029.001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офтальмолога первичный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B01.031.001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педиатра первичный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B01.050.001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травматолога-ортопеда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первичный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</w:tbl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  <w:r>
        <w:t>--------------------------------</w:t>
      </w:r>
    </w:p>
    <w:p w:rsidR="00000000" w:rsidRDefault="00200858">
      <w:pPr>
        <w:pStyle w:val="ConsPlusNormal"/>
        <w:spacing w:before="200"/>
        <w:ind w:firstLine="540"/>
        <w:jc w:val="both"/>
      </w:pPr>
      <w:bookmarkStart w:id="2" w:name="Par86"/>
      <w:bookmarkEnd w:id="2"/>
      <w:r>
        <w:t xml:space="preserve"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</w:t>
      </w:r>
      <w:r>
        <w:t>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20085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>Л</w:t>
            </w:r>
            <w:r w:rsidRPr="00200858">
              <w:t xml:space="preserve">абораторные методы исследования                            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Наименование медицинской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применения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A09.05.039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Исследование уровня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лактатдегидрогеназы в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крови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A09.05.099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Исследование уровня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аминокислотного состава и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концентрации а</w:t>
            </w:r>
            <w:r w:rsidRPr="00200858">
              <w:t xml:space="preserve">минокислот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lastRenderedPageBreak/>
              <w:t xml:space="preserve">в крови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lastRenderedPageBreak/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lastRenderedPageBreak/>
              <w:t xml:space="preserve">A09.28.002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Исследование аминокислот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 метаболитов в моче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B03.016.003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Общий (клинический)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анализ крови развернутый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B03.016.004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Анализ крови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биохимический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общетерапевтический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B03.016.006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Анализ мочи общий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</w:tbl>
    <w:p w:rsidR="00000000" w:rsidRDefault="002008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160"/>
        <w:gridCol w:w="192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 xml:space="preserve">Инструментальные методы исследования                        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услуги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Наименование медицинской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услуги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</w:t>
            </w:r>
            <w:r w:rsidRPr="00200858">
              <w:t xml:space="preserve">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применения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A04.23.601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Нейросонография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A05.02.001.001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Электромиография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игольчатая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A05.02.001.002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Электромиография накожная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одной анатомической зоны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A05.02.001.003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Электронейромиография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стимуляционная одного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нерва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A05.02.001.011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Электронейромиография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игольчатыми электродами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(один нерв)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A05.23.001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Электроэнцефалография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0,3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A05.23.009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Магнитно-резонансная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томография головного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мозга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</w:t>
            </w:r>
            <w:r w:rsidRPr="00200858">
              <w:t xml:space="preserve">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A06.03.002.001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Компьютерная томография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головы с    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контрастированием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  <w:tr w:rsidR="00000000" w:rsidRPr="00200858">
        <w:trPr>
          <w:trHeight w:val="240"/>
        </w:trPr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A06.03.002.002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Компьютерная томография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головы без  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контрастирования структур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головного мозга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0,2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</w:t>
            </w:r>
          </w:p>
        </w:tc>
      </w:tr>
    </w:tbl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20085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</w:t>
            </w:r>
            <w:r w:rsidRPr="00200858">
              <w:t xml:space="preserve">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Наименование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применения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lastRenderedPageBreak/>
              <w:t xml:space="preserve">B01.006.002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генетика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B01.023.003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Ежедневный осмотр врачом-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неврологом с наблюдением и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уходом среднего и младшего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медицинского персонала в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отделении стационара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  <w:r w:rsidRPr="00200858">
              <w:t xml:space="preserve">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29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B01.029.002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офтальмолога повторный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B01.031.002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врача-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педиатра повторный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0,8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B01.050.002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Прием (осмотр,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консультация) врача -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травматолога-ортопеда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повторный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</w:tbl>
    <w:p w:rsidR="00000000" w:rsidRDefault="002008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 xml:space="preserve">Лабораторные методы исследования                                </w:t>
            </w:r>
            <w:r w:rsidRPr="00200858">
              <w:t xml:space="preserve">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Наименование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применения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B03.016.003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Общий (клинический) анализ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крови развернутый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B03.016.004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Анализ крови биохимический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общетерапевтический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B03.016.006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Анализ мочи общий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</w:tbl>
    <w:p w:rsidR="00000000" w:rsidRDefault="002008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 xml:space="preserve">Инструментальные методы исследования                         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Наименование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применения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A04.10.002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Эхокардиография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0,3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A05.02.001.001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Электромиография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игольчатая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A05.02.001.002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Электромиография накожная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одной анатомической зоны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A05.02.001.003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Электронейромиография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стимуляционная одного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нерва  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A05.02.001.011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Электро</w:t>
            </w:r>
            <w:r w:rsidRPr="00200858">
              <w:t xml:space="preserve">нейромиография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игольчатами электродами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(один нерв)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lastRenderedPageBreak/>
              <w:t xml:space="preserve">A05.10.006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Регистрация   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электрокардиограммы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0,2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A05.23.009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Магнитно-резонансная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томография головного мозга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</w:tbl>
    <w:p w:rsidR="00000000" w:rsidRDefault="002008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 xml:space="preserve">Иные методы исследования                                     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Наименование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применения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A13.23.012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Общее нейропсихологическое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обследование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0,1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            </w:t>
            </w:r>
          </w:p>
        </w:tc>
      </w:tr>
    </w:tbl>
    <w:p w:rsidR="00000000" w:rsidRDefault="00200858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160"/>
        <w:gridCol w:w="1800"/>
      </w:tblGrid>
      <w:tr w:rsidR="00000000" w:rsidRPr="00200858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  <w:outlineLvl w:val="2"/>
            </w:pPr>
            <w:r w:rsidRPr="00200858">
              <w:t xml:space="preserve">Немедикаментозные методы профилактики, лечения и медицинской  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реабилитации                                                  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Код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услуги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Наименование медицинской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 услуги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</w:t>
            </w:r>
            <w:r w:rsidRPr="00200858">
              <w:t xml:space="preserve">дненный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показатель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частоты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предоставления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кратности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применения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A21.23.001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Массаж при заболеваниях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центральной нервной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системы     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10           </w:t>
            </w:r>
          </w:p>
        </w:tc>
      </w:tr>
      <w:tr w:rsidR="00000000" w:rsidRPr="00200858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A21.30.003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Массаж при заболеваниях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нервной системы у детей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раннего возраста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10           </w:t>
            </w:r>
          </w:p>
        </w:tc>
      </w:tr>
    </w:tbl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</w:t>
      </w:r>
      <w:r>
        <w:t>казанием средних суточных и курсовых доз</w:t>
      </w:r>
    </w:p>
    <w:p w:rsidR="00000000" w:rsidRDefault="0020085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2040"/>
        <w:gridCol w:w="1920"/>
        <w:gridCol w:w="1320"/>
        <w:gridCol w:w="840"/>
        <w:gridCol w:w="960"/>
      </w:tblGrid>
      <w:tr w:rsidR="00000000" w:rsidRPr="00200858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Анатомо-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терапевтическо-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химическая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классификация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Наименование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лекарственного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препарата </w:t>
            </w:r>
            <w:hyperlink w:anchor="Par34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200858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Усредненный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показатель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частоты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Единицы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ССД </w:t>
            </w:r>
          </w:p>
          <w:p w:rsidR="00000000" w:rsidRPr="00200858" w:rsidRDefault="00200858">
            <w:pPr>
              <w:pStyle w:val="ConsPlusNonformat"/>
              <w:jc w:val="both"/>
            </w:pPr>
            <w:hyperlink w:anchor="Par350" w:tooltip="&lt;***&gt; Средняя суточная доза." w:history="1">
              <w:r w:rsidRPr="00200858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СКД  </w:t>
            </w:r>
          </w:p>
          <w:p w:rsidR="00000000" w:rsidRPr="00200858" w:rsidRDefault="00200858">
            <w:pPr>
              <w:pStyle w:val="ConsPlusNonformat"/>
              <w:jc w:val="both"/>
            </w:pPr>
            <w:hyperlink w:anchor="Par351" w:tooltip="&lt;****&gt; Средняя курсовая доза." w:history="1">
              <w:r w:rsidRPr="00200858">
                <w:rPr>
                  <w:color w:val="0000FF"/>
                </w:rPr>
                <w:t>&lt;****&gt;</w:t>
              </w:r>
            </w:hyperlink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C02AA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Алкалоиды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раувольфии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Раувольфии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алкалоиды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60  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M03AX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Другие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миорелаксанты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периферического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действия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Ботулинический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токсин типа A-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гемагглютинин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комплекс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ЕД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500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500 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M03BX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Другие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миорелаксанты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lastRenderedPageBreak/>
              <w:t xml:space="preserve">центрального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действия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Баклофен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60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1800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N03AE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Производные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бензодиазепина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Клоназепам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60  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N03AF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Производные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карбоксамида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0,6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Карбамазепин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600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1800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N04AA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Третичные амины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0,4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Бипериден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180 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Тригексифенидил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6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180 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N04BA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Допа и ее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производные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Леводопа +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[Карбидопа]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600 +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18000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>+ 4500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N05AD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Производные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бутирофенона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Галоперидол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1,2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36    </w:t>
            </w: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N05BA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Производные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бензодиазепина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0,3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</w:tr>
      <w:tr w:rsidR="00000000" w:rsidRPr="00200858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Диазепам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60    </w:t>
            </w:r>
          </w:p>
        </w:tc>
      </w:tr>
    </w:tbl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20085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200858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Наименование вида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Усредненный показатель частоты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>Количество</w:t>
            </w:r>
          </w:p>
        </w:tc>
      </w:tr>
      <w:tr w:rsidR="00000000" w:rsidRPr="0020085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Основная лечебная диета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(ОЛД)   </w:t>
            </w:r>
            <w:r w:rsidRPr="00200858">
              <w:t xml:space="preserve">         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0,1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30        </w:t>
            </w:r>
          </w:p>
        </w:tc>
      </w:tr>
      <w:tr w:rsidR="00000000" w:rsidRPr="00200858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Основной вариант           </w:t>
            </w:r>
          </w:p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0,9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200858" w:rsidRDefault="00200858">
            <w:pPr>
              <w:pStyle w:val="ConsPlusNonformat"/>
              <w:jc w:val="both"/>
            </w:pPr>
            <w:r w:rsidRPr="00200858">
              <w:t xml:space="preserve">30        </w:t>
            </w:r>
          </w:p>
        </w:tc>
      </w:tr>
    </w:tbl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  <w:r>
        <w:t>--------------------------------</w:t>
      </w:r>
    </w:p>
    <w:p w:rsidR="00000000" w:rsidRDefault="00200858">
      <w:pPr>
        <w:pStyle w:val="ConsPlusNormal"/>
        <w:spacing w:before="200"/>
        <w:ind w:firstLine="540"/>
        <w:jc w:val="both"/>
      </w:pPr>
      <w:bookmarkStart w:id="3" w:name="Par348"/>
      <w:bookmarkEnd w:id="3"/>
      <w:r>
        <w:t xml:space="preserve">&lt;*&gt; Международная статистическая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</w:t>
      </w:r>
      <w:r>
        <w:t>о здоровьем, X пересмотра.</w:t>
      </w:r>
    </w:p>
    <w:p w:rsidR="00000000" w:rsidRDefault="00200858">
      <w:pPr>
        <w:pStyle w:val="ConsPlusNormal"/>
        <w:spacing w:before="200"/>
        <w:ind w:firstLine="540"/>
        <w:jc w:val="both"/>
      </w:pPr>
      <w:bookmarkStart w:id="4" w:name="Par34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200858">
      <w:pPr>
        <w:pStyle w:val="ConsPlusNormal"/>
        <w:spacing w:before="200"/>
        <w:ind w:firstLine="540"/>
        <w:jc w:val="both"/>
      </w:pPr>
      <w:bookmarkStart w:id="5" w:name="Par350"/>
      <w:bookmarkEnd w:id="5"/>
      <w:r>
        <w:t>&lt;***&gt; Средняя суточная доза.</w:t>
      </w:r>
    </w:p>
    <w:p w:rsidR="00000000" w:rsidRDefault="00200858">
      <w:pPr>
        <w:pStyle w:val="ConsPlusNormal"/>
        <w:spacing w:before="200"/>
        <w:ind w:firstLine="540"/>
        <w:jc w:val="both"/>
      </w:pPr>
      <w:bookmarkStart w:id="6" w:name="Par351"/>
      <w:bookmarkEnd w:id="6"/>
      <w:r>
        <w:t>&lt;****&gt; Средняя курсовая доза.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  <w:r>
        <w:t>Примечания: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</w:t>
      </w:r>
      <w:r>
        <w:t>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</w:t>
      </w:r>
      <w:r>
        <w:t>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200858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</w:t>
      </w:r>
      <w:r>
        <w:t>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</w:t>
      </w:r>
      <w:r>
        <w:t>ссии (</w:t>
      </w:r>
      <w:hyperlink r:id="rId1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200858">
      <w:pPr>
        <w:pStyle w:val="ConsPlusNormal"/>
        <w:ind w:firstLine="540"/>
        <w:jc w:val="both"/>
      </w:pPr>
    </w:p>
    <w:p w:rsidR="00000000" w:rsidRDefault="00200858">
      <w:pPr>
        <w:pStyle w:val="ConsPlusNormal"/>
        <w:ind w:firstLine="540"/>
        <w:jc w:val="both"/>
      </w:pPr>
    </w:p>
    <w:p w:rsidR="00200858" w:rsidRDefault="002008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00858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858" w:rsidRDefault="00200858">
      <w:pPr>
        <w:spacing w:after="0" w:line="240" w:lineRule="auto"/>
      </w:pPr>
      <w:r>
        <w:separator/>
      </w:r>
    </w:p>
  </w:endnote>
  <w:endnote w:type="continuationSeparator" w:id="0">
    <w:p w:rsidR="00200858" w:rsidRDefault="0020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008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20085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0858" w:rsidRDefault="002008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20085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20085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0858" w:rsidRDefault="0020085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20085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0858" w:rsidRDefault="00200858">
          <w:pPr>
            <w:pStyle w:val="ConsPlusNormal"/>
            <w:jc w:val="right"/>
          </w:pPr>
          <w:r w:rsidRPr="00200858">
            <w:t xml:space="preserve">Страница </w:t>
          </w:r>
          <w:r w:rsidRPr="00200858">
            <w:fldChar w:fldCharType="begin"/>
          </w:r>
          <w:r w:rsidRPr="00200858">
            <w:instrText>\PAGE</w:instrText>
          </w:r>
          <w:r w:rsidR="00967450" w:rsidRPr="00200858">
            <w:fldChar w:fldCharType="separate"/>
          </w:r>
          <w:r w:rsidR="00967450" w:rsidRPr="00200858">
            <w:rPr>
              <w:noProof/>
            </w:rPr>
            <w:t>8</w:t>
          </w:r>
          <w:r w:rsidRPr="00200858">
            <w:fldChar w:fldCharType="end"/>
          </w:r>
          <w:r w:rsidRPr="00200858">
            <w:t xml:space="preserve"> из </w:t>
          </w:r>
          <w:r w:rsidRPr="00200858">
            <w:fldChar w:fldCharType="begin"/>
          </w:r>
          <w:r w:rsidRPr="00200858">
            <w:instrText>\NUMPAGES</w:instrText>
          </w:r>
          <w:r w:rsidR="00967450" w:rsidRPr="00200858">
            <w:fldChar w:fldCharType="separate"/>
          </w:r>
          <w:r w:rsidR="00967450" w:rsidRPr="00200858">
            <w:rPr>
              <w:noProof/>
            </w:rPr>
            <w:t>8</w:t>
          </w:r>
          <w:r w:rsidRPr="00200858">
            <w:fldChar w:fldCharType="end"/>
          </w:r>
        </w:p>
      </w:tc>
    </w:tr>
  </w:tbl>
  <w:p w:rsidR="00000000" w:rsidRDefault="002008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858" w:rsidRDefault="00200858">
      <w:pPr>
        <w:spacing w:after="0" w:line="240" w:lineRule="auto"/>
      </w:pPr>
      <w:r>
        <w:separator/>
      </w:r>
    </w:p>
  </w:footnote>
  <w:footnote w:type="continuationSeparator" w:id="0">
    <w:p w:rsidR="00200858" w:rsidRDefault="0020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20085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0858" w:rsidRDefault="00200858">
          <w:pPr>
            <w:pStyle w:val="ConsPlusNormal"/>
            <w:rPr>
              <w:sz w:val="16"/>
              <w:szCs w:val="16"/>
            </w:rPr>
          </w:pPr>
          <w:r w:rsidRPr="00200858">
            <w:rPr>
              <w:sz w:val="16"/>
              <w:szCs w:val="16"/>
            </w:rPr>
            <w:t>Приказ Минздрава России от 29.12.2012 N 1701н</w:t>
          </w:r>
          <w:r w:rsidRPr="00200858">
            <w:rPr>
              <w:sz w:val="16"/>
              <w:szCs w:val="16"/>
            </w:rPr>
            <w:br/>
            <w:t>"Об утверждении стандарта специализированной мед</w:t>
          </w:r>
          <w:r w:rsidRPr="00200858">
            <w:rPr>
              <w:sz w:val="16"/>
              <w:szCs w:val="16"/>
            </w:rPr>
            <w:t>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0858" w:rsidRDefault="0020085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200858" w:rsidRDefault="0020085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00858" w:rsidRDefault="00200858">
          <w:pPr>
            <w:pStyle w:val="ConsPlusNormal"/>
            <w:jc w:val="right"/>
            <w:rPr>
              <w:sz w:val="16"/>
              <w:szCs w:val="16"/>
            </w:rPr>
          </w:pPr>
          <w:r w:rsidRPr="0020085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200858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200858">
            <w:rPr>
              <w:sz w:val="18"/>
              <w:szCs w:val="18"/>
            </w:rPr>
            <w:br/>
          </w:r>
          <w:r w:rsidRPr="00200858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2008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008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7450"/>
    <w:rsid w:val="00200858"/>
    <w:rsid w:val="0096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D076B108532CA6063F9CFE851B244CB7EE1AEB11106D0D4E30C6DC41FD0C7B703FCA34001CFI4C4D" TargetMode="External"/><Relationship Id="rId13" Type="http://schemas.openxmlformats.org/officeDocument/2006/relationships/hyperlink" Target="consultantplus://offline/ref=EAAD076B108532CA6063F9CFE851B244CD73ECA8BA4C0CD88DEF0E6ACB40C7C0FE0FFEAA4607ICC1D" TargetMode="External"/><Relationship Id="rId18" Type="http://schemas.openxmlformats.org/officeDocument/2006/relationships/hyperlink" Target="consultantplus://offline/ref=EAAD076B108532CA6063F9CFE851B244CD73ECA8BA4C0CD88DEF0EI6CAD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AAD076B108532CA6063F9CFE851B244CD73ECA8BA4C0CD88DEF0E6ACB40C7C0FE0FFEAA4607ICC0D" TargetMode="External"/><Relationship Id="rId17" Type="http://schemas.openxmlformats.org/officeDocument/2006/relationships/hyperlink" Target="consultantplus://offline/ref=EAAD076B108532CA6063F9CFE851B244CD73ECA8BA4C0CD88DEF0E6ACB40C7C0FE0FFEAA4604ICC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AD076B108532CA6063F9CFE851B244CD73ECA8BA4C0CD88DEF0E6ACB40C7C0FE0FFEAA4604ICC7D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AAD076B108532CA6063F9CFE851B244CD73ECA8BA4C0CD88DEF0E6ACB40C7C0FE0FFEAA4607ICC3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AD076B108532CA6063F9CFE851B244CD73ECA8BA4C0CD88DEF0E6ACB40C7C0FE0FFEAA4604ICC6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AD076B108532CA6063F9CFE851B244CD73ECA8BA4C0CD88DEF0E6ACB40C7C0FE0FFEAA4607ICC2D" TargetMode="External"/><Relationship Id="rId19" Type="http://schemas.openxmlformats.org/officeDocument/2006/relationships/hyperlink" Target="consultantplus://offline/ref=EAAD076B108532CA6063F9CFE851B244CB7EE1AEB11106D0D4E30C6DC41FD0C7B703FCA34006C7I4C2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AD076B108532CA6063F9CFE851B244CD73ECA8BA4C0CD88DEF0EI6CAD" TargetMode="External"/><Relationship Id="rId14" Type="http://schemas.openxmlformats.org/officeDocument/2006/relationships/hyperlink" Target="consultantplus://offline/ref=EAAD076B108532CA6063F9CFE851B244CD73ECA8BA4C0CD88DEF0E6ACB40C7C0FE0FFEAA4607ICCF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2534</Words>
  <Characters>14450</Characters>
  <Application>Microsoft Office Word</Application>
  <DocSecurity>2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29.12.2012 N 1701н"Об утверждении стандарта специализированной медицинской помощи детям при мышечной дистонии"(Зарегистрировано в Минюсте России 01.04.2013 N 27956)</vt:lpstr>
    </vt:vector>
  </TitlesOfParts>
  <Company>КонсультантПлюс Версия 4016.00.46</Company>
  <LinksUpToDate>false</LinksUpToDate>
  <CharactersWithSpaces>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29.12.2012 N 1701н"Об утверждении стандарта специализированной медицинской помощи детям при мышечной дистонии"(Зарегистрировано в Минюсте России 01.04.2013 N 27956)</dc:title>
  <dc:creator>Муржак Ирина Дмитриевна</dc:creator>
  <cp:lastModifiedBy>Муржак Ирина Дмитриевна</cp:lastModifiedBy>
  <cp:revision>2</cp:revision>
  <dcterms:created xsi:type="dcterms:W3CDTF">2017-07-21T07:49:00Z</dcterms:created>
  <dcterms:modified xsi:type="dcterms:W3CDTF">2017-07-21T07:49:00Z</dcterms:modified>
</cp:coreProperties>
</file>