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62CE7">
        <w:trPr>
          <w:trHeight w:hRule="exact" w:val="3031"/>
        </w:trPr>
        <w:tc>
          <w:tcPr>
            <w:tcW w:w="10716" w:type="dxa"/>
          </w:tcPr>
          <w:p w:rsidR="00000000" w:rsidRPr="00462CE7" w:rsidRDefault="00462CE7">
            <w:pPr>
              <w:pStyle w:val="ConsPlusTitlePage"/>
            </w:pPr>
            <w:bookmarkStart w:id="0" w:name="_GoBack"/>
            <w:bookmarkEnd w:id="0"/>
            <w:r w:rsidRPr="00462CE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62CE7">
        <w:trPr>
          <w:trHeight w:hRule="exact" w:val="8335"/>
        </w:trPr>
        <w:tc>
          <w:tcPr>
            <w:tcW w:w="10716" w:type="dxa"/>
            <w:vAlign w:val="center"/>
          </w:tcPr>
          <w:p w:rsidR="00000000" w:rsidRPr="00462CE7" w:rsidRDefault="00462CE7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62CE7">
              <w:rPr>
                <w:sz w:val="48"/>
                <w:szCs w:val="48"/>
              </w:rPr>
              <w:t xml:space="preserve"> Приказ Минздрава России от 09.11.2012 N 871н</w:t>
            </w:r>
            <w:r w:rsidRPr="00462CE7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кампилобактериозе легкой степени тяжести"</w:t>
            </w:r>
            <w:r w:rsidRPr="00462CE7">
              <w:rPr>
                <w:sz w:val="48"/>
                <w:szCs w:val="48"/>
              </w:rPr>
              <w:br/>
              <w:t>(Зарегистрировано в Минюсте России 23.01.2013 N 26687)</w:t>
            </w:r>
          </w:p>
        </w:tc>
      </w:tr>
      <w:tr w:rsidR="00000000" w:rsidRPr="00462CE7">
        <w:trPr>
          <w:trHeight w:hRule="exact" w:val="3031"/>
        </w:trPr>
        <w:tc>
          <w:tcPr>
            <w:tcW w:w="10716" w:type="dxa"/>
            <w:vAlign w:val="center"/>
          </w:tcPr>
          <w:p w:rsidR="00000000" w:rsidRPr="00462CE7" w:rsidRDefault="00462CE7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62CE7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62CE7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62CE7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62CE7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62CE7">
              <w:rPr>
                <w:sz w:val="28"/>
                <w:szCs w:val="28"/>
              </w:rPr>
              <w:t xml:space="preserve"> </w:t>
            </w:r>
            <w:r w:rsidRPr="00462CE7">
              <w:rPr>
                <w:sz w:val="28"/>
                <w:szCs w:val="28"/>
              </w:rPr>
              <w:br/>
            </w:r>
            <w:r w:rsidRPr="00462CE7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62CE7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62C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62CE7">
      <w:pPr>
        <w:pStyle w:val="ConsPlusNormal"/>
        <w:jc w:val="both"/>
        <w:outlineLvl w:val="0"/>
      </w:pPr>
    </w:p>
    <w:p w:rsidR="00000000" w:rsidRDefault="00462CE7">
      <w:pPr>
        <w:pStyle w:val="ConsPlusNormal"/>
        <w:outlineLvl w:val="0"/>
      </w:pPr>
      <w:r>
        <w:t>Зарегистрировано в Минюсте России 23 января 2013 г. N 26687</w:t>
      </w:r>
    </w:p>
    <w:p w:rsidR="00000000" w:rsidRDefault="00462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62CE7">
      <w:pPr>
        <w:pStyle w:val="ConsPlusNormal"/>
      </w:pPr>
    </w:p>
    <w:p w:rsidR="00000000" w:rsidRDefault="00462CE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62CE7">
      <w:pPr>
        <w:pStyle w:val="ConsPlusTitle"/>
        <w:jc w:val="center"/>
      </w:pPr>
    </w:p>
    <w:p w:rsidR="00000000" w:rsidRDefault="00462CE7">
      <w:pPr>
        <w:pStyle w:val="ConsPlusTitle"/>
        <w:jc w:val="center"/>
      </w:pPr>
      <w:r>
        <w:t>ПРИКАЗ</w:t>
      </w:r>
    </w:p>
    <w:p w:rsidR="00000000" w:rsidRDefault="00462CE7">
      <w:pPr>
        <w:pStyle w:val="ConsPlusTitle"/>
        <w:jc w:val="center"/>
      </w:pPr>
      <w:r>
        <w:t>от 9 ноября 2012 г. N 871н</w:t>
      </w:r>
    </w:p>
    <w:p w:rsidR="00000000" w:rsidRDefault="00462CE7">
      <w:pPr>
        <w:pStyle w:val="ConsPlusTitle"/>
        <w:jc w:val="center"/>
      </w:pPr>
    </w:p>
    <w:p w:rsidR="00000000" w:rsidRDefault="00462CE7">
      <w:pPr>
        <w:pStyle w:val="ConsPlusTitle"/>
        <w:jc w:val="center"/>
      </w:pPr>
      <w:r>
        <w:t>ОБ УТВЕРЖДЕНИИ СТАНДАРТА</w:t>
      </w:r>
    </w:p>
    <w:p w:rsidR="00000000" w:rsidRDefault="00462CE7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462CE7">
      <w:pPr>
        <w:pStyle w:val="ConsPlusTitle"/>
        <w:jc w:val="center"/>
      </w:pPr>
      <w:r>
        <w:t>ПРИ КАМПИЛОБАКТЕРИОЗЕ ЛЕГКОЙ СТЕПЕНИ ТЯЖЕСТИ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кампилобактериозе легкой степени тяжести согласно приложению.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jc w:val="right"/>
      </w:pPr>
      <w:r>
        <w:t>Министр</w:t>
      </w:r>
    </w:p>
    <w:p w:rsidR="00000000" w:rsidRDefault="00462CE7">
      <w:pPr>
        <w:pStyle w:val="ConsPlusNormal"/>
        <w:jc w:val="right"/>
      </w:pPr>
      <w:r>
        <w:t>В.И.СКВОРЦОВА</w:t>
      </w:r>
    </w:p>
    <w:p w:rsidR="00000000" w:rsidRDefault="00462CE7">
      <w:pPr>
        <w:pStyle w:val="ConsPlusNormal"/>
        <w:jc w:val="right"/>
      </w:pPr>
    </w:p>
    <w:p w:rsidR="00000000" w:rsidRDefault="00462CE7">
      <w:pPr>
        <w:pStyle w:val="ConsPlusNormal"/>
        <w:jc w:val="right"/>
      </w:pPr>
    </w:p>
    <w:p w:rsidR="00000000" w:rsidRDefault="00462CE7">
      <w:pPr>
        <w:pStyle w:val="ConsPlusNormal"/>
        <w:jc w:val="right"/>
      </w:pPr>
    </w:p>
    <w:p w:rsidR="00000000" w:rsidRDefault="00462CE7">
      <w:pPr>
        <w:pStyle w:val="ConsPlusNormal"/>
        <w:jc w:val="right"/>
      </w:pPr>
    </w:p>
    <w:p w:rsidR="00000000" w:rsidRDefault="00462CE7">
      <w:pPr>
        <w:pStyle w:val="ConsPlusNormal"/>
        <w:jc w:val="right"/>
      </w:pPr>
    </w:p>
    <w:p w:rsidR="00000000" w:rsidRDefault="00462CE7">
      <w:pPr>
        <w:pStyle w:val="ConsPlusNormal"/>
        <w:jc w:val="right"/>
        <w:outlineLvl w:val="0"/>
      </w:pPr>
      <w:r>
        <w:t>Приложение</w:t>
      </w:r>
    </w:p>
    <w:p w:rsidR="00000000" w:rsidRDefault="00462CE7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62CE7">
      <w:pPr>
        <w:pStyle w:val="ConsPlusNormal"/>
        <w:jc w:val="right"/>
      </w:pPr>
      <w:r>
        <w:t>Российской Федерации</w:t>
      </w:r>
    </w:p>
    <w:p w:rsidR="00000000" w:rsidRDefault="00462CE7">
      <w:pPr>
        <w:pStyle w:val="ConsPlusNormal"/>
        <w:jc w:val="right"/>
      </w:pPr>
      <w:r>
        <w:t>от 9 ноября 2012 г. N 871н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462CE7">
      <w:pPr>
        <w:pStyle w:val="ConsPlusTitle"/>
        <w:jc w:val="center"/>
      </w:pPr>
      <w:r>
        <w:t>ПЕРВИЧНОЙ МЕДИКО-САНИТАРНОЙ ПОМОЩИ ДЕТЯМ</w:t>
      </w:r>
    </w:p>
    <w:p w:rsidR="00000000" w:rsidRDefault="00462CE7">
      <w:pPr>
        <w:pStyle w:val="ConsPlusTitle"/>
        <w:jc w:val="center"/>
      </w:pPr>
      <w:r>
        <w:t>ПРИ КАМПИЛОБАКТЕРИОЗЕ ЛЕГКОЙ СТЕПЕНИ ТЯЖЕСТИ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Стадия: легкая степень тяжести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</w:t>
      </w:r>
      <w:r>
        <w:t>тарная помощь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Средние сроки лечения (количество дней): 21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82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62CE7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jc w:val="center"/>
      </w:pP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A04.5</w:t>
        </w:r>
      </w:hyperlink>
      <w:r>
        <w:t xml:space="preserve"> Энтерит, вызванный Campylobacter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62C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Прием (осмотр, консультация) врача-специалиста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услуги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Наимено</w:t>
            </w:r>
            <w:r w:rsidRPr="00462CE7">
              <w:t xml:space="preserve">вание медицинской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  <w:p w:rsidR="00000000" w:rsidRPr="00462CE7" w:rsidRDefault="00462CE7">
            <w:pPr>
              <w:pStyle w:val="ConsPlusNonformat"/>
              <w:jc w:val="both"/>
            </w:pPr>
            <w:hyperlink w:anchor="Par78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62CE7">
                <w:rPr>
                  <w:color w:val="0000FF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показатель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применения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B01.004.001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врача-га</w:t>
            </w:r>
            <w:r w:rsidRPr="00462CE7">
              <w:t xml:space="preserve">строэнтеролога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первичный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B01.014.001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врача-инфекциониста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B01.026.001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 общей практики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(семейного врача)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B01.031.001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врача-педиатра первичный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B01.031.003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врача-педиатра участкового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первичный                 </w:t>
            </w:r>
            <w:r w:rsidRPr="00462CE7">
              <w:t xml:space="preserve">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</w:tbl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>--------------------------------</w:t>
      </w:r>
    </w:p>
    <w:p w:rsidR="00000000" w:rsidRDefault="00462CE7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</w:t>
      </w:r>
      <w:r>
        <w:t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</w:t>
      </w:r>
      <w:r>
        <w:t>ие показания.</w:t>
      </w:r>
    </w:p>
    <w:p w:rsidR="00000000" w:rsidRDefault="00462C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Лабораторные методы исследования              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услуги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Наименование медицинской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показатель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применения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A09.19.009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простейшие и яйца гельминтов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A26.01.017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Микроскопическое исследование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отпечатков с поверхности кожи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перианальных складок на яйца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о</w:t>
            </w:r>
            <w:r w:rsidRPr="00462CE7">
              <w:t xml:space="preserve">стриц (Enterobius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vermicularis)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A26.06.073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сальмонелле кишечной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(Salmonella enterica)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A26.06.074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Определе</w:t>
            </w:r>
            <w:r w:rsidRPr="00462CE7">
              <w:t xml:space="preserve">ние антител к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сальмонелле паратифа A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(Salmonella paratyphy A) в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A26.06.075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сальмонелле паратифа B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(Salmonella paratyphy B) в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        </w:t>
            </w:r>
            <w:r w:rsidRPr="00462CE7">
              <w:t xml:space="preserve">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A26.06.077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сальмонелле тифи (Salmonella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typhi) в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A26.06.093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классов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иерсинии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энтероколитика (Yersinia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enterocolitica) в крови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A26.06.094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классов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иерсинии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псевдотуберкулеза (Yersinia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pseudotuberculosis)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A26.06.0</w:t>
            </w:r>
            <w:r w:rsidRPr="00462CE7">
              <w:t xml:space="preserve">95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классов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шигелле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Боуди (Shigella boudii) в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A26.06.096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классов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шигелле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дизентерии (Shigella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dysenterie)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A26.06.097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антител классов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шигелле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Зонне (Shigella zonnei) в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A26.06.098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Определение антител классо</w:t>
            </w:r>
            <w:r w:rsidRPr="00462CE7">
              <w:t xml:space="preserve">в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M, G (IgM, IgG) к шигелле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Флекснера (Shigella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fplexneri) в крови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возбудителя дизентерии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(Shigella spp.)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тифо-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паратифозные микроорганизмы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(Salmonella typhi)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A26.19.003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     </w:t>
            </w:r>
            <w:r w:rsidRPr="00462CE7">
              <w:t xml:space="preserve">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сальмонеллы (Salmonella spp.)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кампилобактерии  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(Campylobacter spp.)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</w:tbl>
    <w:p w:rsidR="00000000" w:rsidRDefault="00462C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Инструментальные методы исследования          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услуги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Наименование медицинской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показатель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применения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A05.10.006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Регистрация      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A26.19.008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исследование кала на аэробные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 факультативно-анаэробные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микроорганизмы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A26.30.004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чувствительности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микроорганизмов к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антибиотикам и другим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лекарственным препаратам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Общий (клинический) анализ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Анализ крови биохимический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Копрологическое исследование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</w:tbl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62C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Прием (осмотр, консультация) и наблюдение врача-специалиста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Наименование медицинской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показатель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применения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B01.014.002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врача-инфекциониста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B01.026.002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 общей практики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(семейного врача)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0,01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B01.031.002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врача-педиатра повторный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B01.031.004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Прием (осмотр, консультация)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врача-педиатра участкового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повторный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          </w:t>
            </w:r>
          </w:p>
        </w:tc>
      </w:tr>
    </w:tbl>
    <w:p w:rsidR="00000000" w:rsidRDefault="00462C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Лабораторные методы исследования              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Наименование медицинской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показатель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применения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A26.05.016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микробиоценоза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кишечника (дисбактериоз)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0,25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A26.19.005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Бактериологическое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исследование кала на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кампилобактерии  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(Campylobacter spp.)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A26.30.004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Определение чувствительности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микроорганизмов к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антибиотикам и другим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лекарс</w:t>
            </w:r>
            <w:r w:rsidRPr="00462CE7">
              <w:t xml:space="preserve">твенным препаратам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Общий (клинический) анализ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крови развернутый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Анализ крови биохимический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общетерапевтический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B03.016.006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Анализ мочи общий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B03.016.010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Копрологическое исследование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</w:tbl>
    <w:p w:rsidR="00000000" w:rsidRDefault="00462C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Инструментальные методы исследования          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Наименование медицинской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показатель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применения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A04.06.002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Ультразвуковое исследование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лимфатических узлов (одна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анатомическая з</w:t>
            </w:r>
            <w:r w:rsidRPr="00462CE7">
              <w:t xml:space="preserve">она)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A04.16.001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Ультразвуковое исследование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органов брюшной полости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(комплексное)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A05.10.006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Регистрация        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электрокардиограммы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</w:t>
            </w:r>
          </w:p>
        </w:tc>
      </w:tr>
    </w:tbl>
    <w:p w:rsidR="00000000" w:rsidRDefault="00462CE7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720"/>
        <w:gridCol w:w="1920"/>
        <w:gridCol w:w="1560"/>
      </w:tblGrid>
      <w:tr w:rsidR="00000000" w:rsidRPr="00462CE7">
        <w:trPr>
          <w:trHeight w:val="240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  <w:outlineLvl w:val="2"/>
            </w:pPr>
            <w:r w:rsidRPr="00462CE7">
              <w:t xml:space="preserve">Немедикаментозные методы профилактики, лечения и медицинской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реабилитации                                                       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Код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медицинской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услуги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Наименование медицинской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      услуги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Усредненный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Усредненный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показатель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кратности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применения </w:t>
            </w:r>
          </w:p>
        </w:tc>
      </w:tr>
      <w:tr w:rsidR="00000000" w:rsidRPr="00462CE7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A17.19.001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Электрофорез лекарственных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препаратов при заболеваниях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кишечника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0,05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5          </w:t>
            </w:r>
          </w:p>
        </w:tc>
      </w:tr>
    </w:tbl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62CE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160"/>
        <w:gridCol w:w="1920"/>
        <w:gridCol w:w="1320"/>
        <w:gridCol w:w="1080"/>
        <w:gridCol w:w="1080"/>
      </w:tblGrid>
      <w:tr w:rsidR="00000000" w:rsidRPr="00462CE7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 Анатомо-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терапевтическо-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  химическая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классиф</w:t>
            </w:r>
            <w:r w:rsidRPr="00462CE7">
              <w:t xml:space="preserve">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Наименование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лекарственного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препарата </w:t>
            </w:r>
            <w:hyperlink w:anchor="Par383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62CE7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У</w:t>
            </w:r>
            <w:r w:rsidRPr="00462CE7">
              <w:t xml:space="preserve">средненный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показатель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 частоты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Единицы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ССД  </w:t>
            </w:r>
          </w:p>
          <w:p w:rsidR="00000000" w:rsidRPr="00462CE7" w:rsidRDefault="00462CE7">
            <w:pPr>
              <w:pStyle w:val="ConsPlusNonformat"/>
              <w:jc w:val="both"/>
            </w:pPr>
            <w:hyperlink w:anchor="Par384" w:tooltip="&lt;***&gt; Средняя суточная доза." w:history="1">
              <w:r w:rsidRPr="00462CE7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  СКД  </w:t>
            </w:r>
          </w:p>
          <w:p w:rsidR="00000000" w:rsidRPr="00462CE7" w:rsidRDefault="00462CE7">
            <w:pPr>
              <w:pStyle w:val="ConsPlusNonformat"/>
              <w:jc w:val="both"/>
            </w:pPr>
            <w:hyperlink w:anchor="Par385" w:tooltip="&lt;****&gt; Средняя курсовая доза." w:history="1">
              <w:r w:rsidRPr="00462CE7">
                <w:rPr>
                  <w:color w:val="0000FF"/>
                </w:rPr>
                <w:t>&lt;****&gt;</w:t>
              </w:r>
            </w:hyperlink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A03AA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Синтетические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антихолинергические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средства, эфиры с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третичной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аминогруппой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Мебеверин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1000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A03AD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Папаверин и его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Дротаверин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400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A06AD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Осмотические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слабительные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средства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Лактулоза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70 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A07BC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Адсорбирующие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кишечные препараты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другие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Лигнин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гидролизный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3600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Смектит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диоктаэдрический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3000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9000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A07FA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Противодиарейные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Бифидобактерии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бифидум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Бифидобактерии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лонгум +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Энтерококкус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фециум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таблетка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Лактобактерии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ацидофильные +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Грибки кефирные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капсула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21 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A09AA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Ферментные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Панкреатин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10000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(по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липазе)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150000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(по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липазе)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B05BB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Растворы, влияющие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на водно- 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электролитный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баланс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Декстроза +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 xml:space="preserve">Калия хлорид +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Натрия хлорид +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Натрия цитрат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400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lastRenderedPageBreak/>
              <w:t>J01FA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Макролиды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Азитромицин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1000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M01AE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Производные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>пропионовой кислоты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Ибупрофен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400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Анилиды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500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R06AC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Замещенные 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этилендиамины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Хлоропирамин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150    </w:t>
            </w: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>R06AE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Производные        </w:t>
            </w:r>
          </w:p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пиперазина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</w:tr>
      <w:tr w:rsidR="00000000" w:rsidRPr="00462CE7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Цетиризин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62CE7" w:rsidRDefault="00462CE7">
            <w:pPr>
              <w:pStyle w:val="ConsPlusNonformat"/>
              <w:jc w:val="both"/>
            </w:pPr>
            <w:r w:rsidRPr="00462CE7">
              <w:t xml:space="preserve">50     </w:t>
            </w:r>
          </w:p>
        </w:tc>
      </w:tr>
    </w:tbl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>--------------------------------</w:t>
      </w:r>
    </w:p>
    <w:p w:rsidR="00000000" w:rsidRDefault="00462CE7">
      <w:pPr>
        <w:pStyle w:val="ConsPlusNormal"/>
        <w:spacing w:before="200"/>
        <w:ind w:firstLine="540"/>
        <w:jc w:val="both"/>
      </w:pPr>
      <w:bookmarkStart w:id="3" w:name="Par382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62CE7">
      <w:pPr>
        <w:pStyle w:val="ConsPlusNormal"/>
        <w:spacing w:before="200"/>
        <w:ind w:firstLine="540"/>
        <w:jc w:val="both"/>
      </w:pPr>
      <w:bookmarkStart w:id="4" w:name="Par383"/>
      <w:bookmarkEnd w:id="4"/>
      <w:r>
        <w:t>&lt;**&gt; Международное непатентованное или химическое наименование лекарстве</w:t>
      </w:r>
      <w:r>
        <w:t>нного препарата, а в случаях их отсутствия - торговое наименование лекарственного препарата.</w:t>
      </w:r>
    </w:p>
    <w:p w:rsidR="00000000" w:rsidRDefault="00462CE7">
      <w:pPr>
        <w:pStyle w:val="ConsPlusNormal"/>
        <w:spacing w:before="200"/>
        <w:ind w:firstLine="540"/>
        <w:jc w:val="both"/>
      </w:pPr>
      <w:bookmarkStart w:id="5" w:name="Par384"/>
      <w:bookmarkEnd w:id="5"/>
      <w:r>
        <w:t>&lt;***&gt; Средняя суточная доза.</w:t>
      </w:r>
    </w:p>
    <w:p w:rsidR="00000000" w:rsidRDefault="00462CE7">
      <w:pPr>
        <w:pStyle w:val="ConsPlusNormal"/>
        <w:spacing w:before="200"/>
        <w:ind w:firstLine="540"/>
        <w:jc w:val="both"/>
      </w:pPr>
      <w:bookmarkStart w:id="6" w:name="Par385"/>
      <w:bookmarkEnd w:id="6"/>
      <w:r>
        <w:t>&lt;****&gt; Средняя курсовая доза.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  <w:r>
        <w:t>Примечания: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3. Граждане, имеющие в соответствии с Федеральным</w:t>
      </w:r>
      <w:r>
        <w:t xml:space="preserve">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</w:t>
      </w:r>
      <w:r>
        <w:t xml:space="preserve">ст. 5084; 2008, N 9, ст. 817; 2008, N 29, ст. 3410; </w:t>
      </w:r>
      <w:r>
        <w:lastRenderedPageBreak/>
        <w:t>N 52, ст. 6224; 2009, N 18, ст. 2152; N 30, ст. 3739; N 52, ст. 6417; 2010, N 50, ст. 6603; 2011, N 27, ст. 3880; 2012, N 31, ст. 4322) право на получение государственной социальной помощи в виде набора с</w:t>
      </w:r>
      <w:r>
        <w:t xml:space="preserve">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</w:t>
      </w:r>
      <w:r>
        <w:t>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</w:t>
      </w:r>
      <w:r>
        <w:t xml:space="preserve">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</w:t>
      </w:r>
      <w:r>
        <w:t xml:space="preserve">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</w:t>
      </w:r>
      <w:r>
        <w:t xml:space="preserve">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462CE7">
      <w:pPr>
        <w:pStyle w:val="ConsPlusNormal"/>
        <w:spacing w:before="200"/>
        <w:ind w:firstLine="540"/>
        <w:jc w:val="both"/>
      </w:pPr>
      <w:r>
        <w:t>Дет</w:t>
      </w:r>
      <w:r>
        <w:t xml:space="preserve">и-инвалиды при оказании медицинской помощи в амбулаторных условиях обеспечиваются специализированными продуктами лечебного питания, включенными в </w:t>
      </w:r>
      <w:hyperlink r:id="rId20" w:tooltip="Приказ Минздравсоцразвития России от 09.01.2007 N 1 (ред. от 04.03.2008) &quot;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31.01.2007 N 8871){КонсультантПлюс}" w:history="1">
        <w:r>
          <w:rPr>
            <w:color w:val="0000FF"/>
          </w:rPr>
          <w:t>Перечень</w:t>
        </w:r>
      </w:hyperlink>
      <w:r>
        <w:t xml:space="preserve"> изделий медицинско</w:t>
      </w:r>
      <w:r>
        <w:t>го назначения и специализированных продуктов лечебного питания для детей-инвалидов, отпускаемых по рецептам врача (фельдшера), при оказании дополнительной бесплатной медицинской помощи отдельным категориям граждан, имеющим право на получение государственно</w:t>
      </w:r>
      <w:r>
        <w:t>й социальной помощи, утвержденный приказом Министерства здравоохранения и социального развития Российской Федерации от 09.01.2007 N 1 (зарегистрирован Министерством юстиции Российской Федерации 31.01.2007, регистрационный N 8871), с изменениями, внесенными</w:t>
      </w:r>
      <w:r>
        <w:t xml:space="preserve"> приказом Министерства здравоохранения и социального развития Российской Федерации от 04.03.2008 N 104н (зарегистрирован Министерством юстиции Российской Федерации 19.03.2008, регистрационный N 11365).</w:t>
      </w:r>
    </w:p>
    <w:p w:rsidR="00000000" w:rsidRDefault="00462CE7">
      <w:pPr>
        <w:pStyle w:val="ConsPlusNormal"/>
        <w:ind w:firstLine="540"/>
        <w:jc w:val="both"/>
      </w:pPr>
    </w:p>
    <w:p w:rsidR="00000000" w:rsidRDefault="00462CE7">
      <w:pPr>
        <w:pStyle w:val="ConsPlusNormal"/>
        <w:ind w:firstLine="540"/>
        <w:jc w:val="both"/>
      </w:pPr>
    </w:p>
    <w:p w:rsidR="00462CE7" w:rsidRDefault="00462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2CE7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E7" w:rsidRDefault="00462CE7">
      <w:pPr>
        <w:spacing w:after="0" w:line="240" w:lineRule="auto"/>
      </w:pPr>
      <w:r>
        <w:separator/>
      </w:r>
    </w:p>
  </w:endnote>
  <w:endnote w:type="continuationSeparator" w:id="0">
    <w:p w:rsidR="00462CE7" w:rsidRDefault="0046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62C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62CE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62CE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62CE7">
            <w:rPr>
              <w:b/>
              <w:bCs/>
              <w:sz w:val="16"/>
              <w:szCs w:val="16"/>
            </w:rPr>
            <w:br/>
          </w:r>
          <w:r w:rsidRPr="00462CE7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62CE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jc w:val="right"/>
          </w:pPr>
          <w:r w:rsidRPr="00462CE7">
            <w:t xml:space="preserve">Страница </w:t>
          </w:r>
          <w:r w:rsidRPr="00462CE7">
            <w:fldChar w:fldCharType="begin"/>
          </w:r>
          <w:r w:rsidRPr="00462CE7">
            <w:instrText>\PAGE</w:instrText>
          </w:r>
          <w:r w:rsidR="008E4AEE" w:rsidRPr="00462CE7">
            <w:fldChar w:fldCharType="separate"/>
          </w:r>
          <w:r w:rsidR="008E4AEE" w:rsidRPr="00462CE7">
            <w:rPr>
              <w:noProof/>
            </w:rPr>
            <w:t>9</w:t>
          </w:r>
          <w:r w:rsidRPr="00462CE7">
            <w:fldChar w:fldCharType="end"/>
          </w:r>
          <w:r w:rsidRPr="00462CE7">
            <w:t xml:space="preserve"> из </w:t>
          </w:r>
          <w:r w:rsidRPr="00462CE7">
            <w:fldChar w:fldCharType="begin"/>
          </w:r>
          <w:r w:rsidRPr="00462CE7">
            <w:instrText>\NUMPAGES</w:instrText>
          </w:r>
          <w:r w:rsidR="008E4AEE" w:rsidRPr="00462CE7">
            <w:fldChar w:fldCharType="separate"/>
          </w:r>
          <w:r w:rsidR="008E4AEE" w:rsidRPr="00462CE7">
            <w:rPr>
              <w:noProof/>
            </w:rPr>
            <w:t>9</w:t>
          </w:r>
          <w:r w:rsidRPr="00462CE7">
            <w:fldChar w:fldCharType="end"/>
          </w:r>
        </w:p>
      </w:tc>
    </w:tr>
  </w:tbl>
  <w:p w:rsidR="00000000" w:rsidRDefault="00462C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E7" w:rsidRDefault="00462CE7">
      <w:pPr>
        <w:spacing w:after="0" w:line="240" w:lineRule="auto"/>
      </w:pPr>
      <w:r>
        <w:separator/>
      </w:r>
    </w:p>
  </w:footnote>
  <w:footnote w:type="continuationSeparator" w:id="0">
    <w:p w:rsidR="00462CE7" w:rsidRDefault="0046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62CE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rPr>
              <w:sz w:val="16"/>
              <w:szCs w:val="16"/>
            </w:rPr>
          </w:pPr>
          <w:r w:rsidRPr="00462CE7">
            <w:rPr>
              <w:sz w:val="16"/>
              <w:szCs w:val="16"/>
            </w:rPr>
            <w:t>Приказ Минздрава России от 09.11.2012 N 871н</w:t>
          </w:r>
          <w:r w:rsidRPr="00462CE7">
            <w:rPr>
              <w:sz w:val="16"/>
              <w:szCs w:val="16"/>
            </w:rPr>
            <w:br/>
            <w:t xml:space="preserve">"Об утверждении стандарта </w:t>
          </w:r>
          <w:r w:rsidRPr="00462CE7">
            <w:rPr>
              <w:sz w:val="16"/>
              <w:szCs w:val="16"/>
            </w:rPr>
            <w:t>первичной медико-санитарной помощи детям при камп...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62CE7" w:rsidRDefault="00462CE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62CE7" w:rsidRDefault="00462CE7">
          <w:pPr>
            <w:pStyle w:val="ConsPlusNormal"/>
            <w:jc w:val="right"/>
            <w:rPr>
              <w:sz w:val="16"/>
              <w:szCs w:val="16"/>
            </w:rPr>
          </w:pPr>
          <w:r w:rsidRPr="00462CE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62CE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62CE7">
            <w:rPr>
              <w:sz w:val="18"/>
              <w:szCs w:val="18"/>
            </w:rPr>
            <w:br/>
          </w:r>
          <w:r w:rsidRPr="00462CE7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62C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62C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AEE"/>
    <w:rsid w:val="00462CE7"/>
    <w:rsid w:val="008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FBB07CBBC97B48C446B62280830EC50F9B78FA34DAF5D481ACFD0633385865A16D9D4A74AB1U2B6K" TargetMode="External"/><Relationship Id="rId13" Type="http://schemas.openxmlformats.org/officeDocument/2006/relationships/hyperlink" Target="consultantplus://offline/ref=3CDFBB07CBBC97B48C44747D2E0830EC56F9B58BA343F2574043C3D264U3BCK" TargetMode="External"/><Relationship Id="rId18" Type="http://schemas.openxmlformats.org/officeDocument/2006/relationships/hyperlink" Target="consultantplus://offline/ref=3CDFBB07CBBC97B48C446B62280830EC54FCBB89A54DAF5D481ACFD0U6B3K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3CDFBB07CBBC97B48C446B62280830EC50F9B78FA34DAF5D481ACFD0633385865A16D9D4A74DB9U2B0K" TargetMode="External"/><Relationship Id="rId17" Type="http://schemas.openxmlformats.org/officeDocument/2006/relationships/hyperlink" Target="consultantplus://offline/ref=3CDFBB07CBBC97B48C446B62280830EC54FCB781A34DAF5D481ACFD0U6B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DFBB07CBBC97B48C446B62280830EC54FDB78FA14DAF5D481ACFD0U6B3K" TargetMode="External"/><Relationship Id="rId20" Type="http://schemas.openxmlformats.org/officeDocument/2006/relationships/hyperlink" Target="consultantplus://offline/ref=3CDFBB07CBBC97B48C446B62280830EC55F5B48AAA4DAF5D481ACFD0633385865A16D9D4A749B9U2B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DFBB07CBBC97B48C446B62280830EC56F4BA89A810A5551116CDUDB7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CDFBB07CBBC97B48C446B62280830EC55FBBA8EA34DAF5D481ACFD0U6B3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CDFBB07CBBC97B48C446B62280830EC56F4BA89A810A5551116CDD76C6C9281131ADBD0A04FUBBDK" TargetMode="External"/><Relationship Id="rId19" Type="http://schemas.openxmlformats.org/officeDocument/2006/relationships/hyperlink" Target="consultantplus://offline/ref=3CDFBB07CBBC97B48C446B62280830EC53F9B58CA14DAF5D481ACFD0U6B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DFBB07CBBC97B48C446B62280830EC56F4BA89A810A5551116CDUDB7K" TargetMode="External"/><Relationship Id="rId14" Type="http://schemas.openxmlformats.org/officeDocument/2006/relationships/hyperlink" Target="consultantplus://offline/ref=3CDFBB07CBBC97B48C446B62280830EC53F9BB88A74DAF5D481ACFD0633385865A16D9D4A74FBCU2B2K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3420</Words>
  <Characters>19499</Characters>
  <Application>Microsoft Office Word</Application>
  <DocSecurity>2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871н"Об утверждении стандарта первичной медико-санитарной помощи детям при кампилобактериозе легкой степени тяжести"(Зарегистрировано в Минюсте России 23.01.2013 N 26687)</vt:lpstr>
    </vt:vector>
  </TitlesOfParts>
  <Company>КонсультантПлюс Версия 4016.00.46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871н"Об утверждении стандарта первичной медико-санитарной помощи детям при кампилобактериозе легкой степени тяжести"(Зарегистрировано в Минюсте России 23.01.2013 N 26687)</dc:title>
  <dc:creator>Муржак Ирина Дмитриевна</dc:creator>
  <cp:lastModifiedBy>Муржак Ирина Дмитриевна</cp:lastModifiedBy>
  <cp:revision>2</cp:revision>
  <dcterms:created xsi:type="dcterms:W3CDTF">2017-07-21T06:38:00Z</dcterms:created>
  <dcterms:modified xsi:type="dcterms:W3CDTF">2017-07-21T06:38:00Z</dcterms:modified>
</cp:coreProperties>
</file>