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664F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00F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09.11.2012 N 725н</w:t>
            </w:r>
            <w:r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13.02.2013 N 27056)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00F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0F3D">
      <w:pPr>
        <w:pStyle w:val="ConsPlusNormal"/>
        <w:jc w:val="both"/>
        <w:outlineLvl w:val="0"/>
      </w:pPr>
    </w:p>
    <w:p w:rsidR="00000000" w:rsidRDefault="00B00F3D">
      <w:pPr>
        <w:pStyle w:val="ConsPlusNormal"/>
        <w:outlineLvl w:val="0"/>
      </w:pPr>
      <w:r>
        <w:t>Зарегистрировано в Минюсте России 13 фе</w:t>
      </w:r>
      <w:r>
        <w:t>враля 2013 г. N 27056</w:t>
      </w:r>
    </w:p>
    <w:p w:rsidR="00000000" w:rsidRDefault="00B00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0F3D">
      <w:pPr>
        <w:pStyle w:val="ConsPlusNormal"/>
      </w:pPr>
    </w:p>
    <w:p w:rsidR="00000000" w:rsidRDefault="00B00F3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00F3D">
      <w:pPr>
        <w:pStyle w:val="ConsPlusTitle"/>
        <w:jc w:val="center"/>
      </w:pPr>
    </w:p>
    <w:p w:rsidR="00000000" w:rsidRDefault="00B00F3D">
      <w:pPr>
        <w:pStyle w:val="ConsPlusTitle"/>
        <w:jc w:val="center"/>
      </w:pPr>
      <w:r>
        <w:t>ПРИКАЗ</w:t>
      </w:r>
    </w:p>
    <w:p w:rsidR="00000000" w:rsidRDefault="00B00F3D">
      <w:pPr>
        <w:pStyle w:val="ConsPlusTitle"/>
        <w:jc w:val="center"/>
      </w:pPr>
      <w:r>
        <w:t>от 9 ноября 2012 г. N 725н</w:t>
      </w:r>
    </w:p>
    <w:p w:rsidR="00000000" w:rsidRDefault="00B00F3D">
      <w:pPr>
        <w:pStyle w:val="ConsPlusTitle"/>
        <w:jc w:val="center"/>
      </w:pPr>
    </w:p>
    <w:p w:rsidR="00000000" w:rsidRDefault="00B00F3D">
      <w:pPr>
        <w:pStyle w:val="ConsPlusTitle"/>
        <w:jc w:val="center"/>
      </w:pPr>
      <w:r>
        <w:t>ОБ УТВЕРЖДЕНИИ СТАНДАРТА</w:t>
      </w:r>
    </w:p>
    <w:p w:rsidR="00000000" w:rsidRDefault="00B00F3D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B00F3D">
      <w:pPr>
        <w:pStyle w:val="ConsPlusTitle"/>
        <w:jc w:val="center"/>
      </w:pPr>
      <w:r>
        <w:t>ПРИ ПРЕЖДЕВРЕМЕННОМ ПОЛОВОМ СОЗРЕВАНИИ,</w:t>
      </w:r>
    </w:p>
    <w:p w:rsidR="00000000" w:rsidRDefault="00B00F3D">
      <w:pPr>
        <w:pStyle w:val="ConsPlusTitle"/>
        <w:jc w:val="center"/>
      </w:pPr>
      <w:r>
        <w:t>В ТОМ ЧИСЛЕ ВТОРИЧНОГО ГЕНЕЗА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  <w:r>
        <w:t>В соответ</w:t>
      </w:r>
      <w:r>
        <w:t xml:space="preserve">ствии со </w:t>
      </w: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преждевременном половом созревании, в том числе вторичного генеза, согласно приложению.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jc w:val="right"/>
      </w:pPr>
      <w:r>
        <w:t>Министр</w:t>
      </w:r>
    </w:p>
    <w:p w:rsidR="00000000" w:rsidRDefault="00B00F3D">
      <w:pPr>
        <w:pStyle w:val="ConsPlusNormal"/>
        <w:jc w:val="right"/>
      </w:pPr>
      <w:r>
        <w:t>В.И.СКВОРЦОВА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jc w:val="right"/>
        <w:outlineLvl w:val="0"/>
      </w:pPr>
      <w:r>
        <w:t>Приложение</w:t>
      </w:r>
    </w:p>
    <w:p w:rsidR="00000000" w:rsidRDefault="00B00F3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00F3D">
      <w:pPr>
        <w:pStyle w:val="ConsPlusNormal"/>
        <w:jc w:val="right"/>
      </w:pPr>
      <w:r>
        <w:t>Российской Федерации</w:t>
      </w:r>
    </w:p>
    <w:p w:rsidR="00000000" w:rsidRDefault="00B00F3D">
      <w:pPr>
        <w:pStyle w:val="ConsPlusNormal"/>
        <w:jc w:val="right"/>
      </w:pPr>
      <w:r>
        <w:t>от 9 ноября 2012 г. N 725н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B00F3D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B00F3D">
      <w:pPr>
        <w:pStyle w:val="ConsPlusTitle"/>
        <w:jc w:val="center"/>
      </w:pPr>
      <w:r>
        <w:t>ПРИ ПРЕЖДЕВРЕМЕННОМ ПОЛОВОМ СОЗРЕВАНИИ,</w:t>
      </w:r>
    </w:p>
    <w:p w:rsidR="00000000" w:rsidRDefault="00B00F3D">
      <w:pPr>
        <w:pStyle w:val="ConsPlusTitle"/>
        <w:jc w:val="center"/>
      </w:pPr>
      <w:r>
        <w:t>В ТОМ ЧИСЛЕ ВТОРИЧНОГО ГЕНЕЗА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Стадия: хроническая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Условия оказания: амбулаторно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Cell"/>
        <w:jc w:val="both"/>
      </w:pPr>
      <w:r>
        <w:t xml:space="preserve">    Код по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1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D27</w:t>
        </w:r>
      </w:hyperlink>
      <w:r>
        <w:t xml:space="preserve">    Доброкачественное новообразование яичника</w:t>
      </w:r>
    </w:p>
    <w:p w:rsidR="00000000" w:rsidRDefault="00B00F3D">
      <w:pPr>
        <w:pStyle w:val="ConsPlusCell"/>
        <w:jc w:val="both"/>
      </w:pPr>
      <w:r>
        <w:t xml:space="preserve">    Нозологические единицы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D29</w:t>
        </w:r>
      </w:hyperlink>
      <w:r>
        <w:t xml:space="preserve">    Доброкачественные новообразования мужских</w:t>
      </w:r>
    </w:p>
    <w:p w:rsidR="00000000" w:rsidRDefault="00B00F3D">
      <w:pPr>
        <w:pStyle w:val="ConsPlusCell"/>
        <w:jc w:val="both"/>
      </w:pPr>
      <w:r>
        <w:lastRenderedPageBreak/>
        <w:t xml:space="preserve">                                   половых органов</w:t>
      </w:r>
    </w:p>
    <w:p w:rsidR="00000000" w:rsidRDefault="00B00F3D">
      <w:pPr>
        <w:pStyle w:val="ConsPlusCell"/>
        <w:jc w:val="both"/>
      </w:pPr>
      <w:r>
        <w:t xml:space="preserve">         </w:t>
      </w:r>
      <w:r>
        <w:t xml:space="preserve">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D29.2</w:t>
        </w:r>
      </w:hyperlink>
      <w:r>
        <w:t xml:space="preserve">  Яичка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D35</w:t>
        </w:r>
      </w:hyperlink>
      <w:r>
        <w:t xml:space="preserve">    Доброкачественные новообразования других</w:t>
      </w:r>
    </w:p>
    <w:p w:rsidR="00000000" w:rsidRDefault="00B00F3D">
      <w:pPr>
        <w:pStyle w:val="ConsPlusCell"/>
        <w:jc w:val="both"/>
      </w:pPr>
      <w:r>
        <w:t xml:space="preserve">                                   и неуточненных эндокринных желез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D35.0</w:t>
        </w:r>
      </w:hyperlink>
      <w:r>
        <w:t xml:space="preserve">  Надпочечника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E03.9</w:t>
        </w:r>
      </w:hyperlink>
      <w:r>
        <w:t xml:space="preserve">  Гипотиреоз неуточненный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E22.8</w:t>
        </w:r>
      </w:hyperlink>
      <w:r>
        <w:t xml:space="preserve">  Другие состояния гиперфункции гипофиза</w:t>
      </w:r>
    </w:p>
    <w:p w:rsidR="00000000" w:rsidRDefault="00B00F3D">
      <w:pPr>
        <w:pStyle w:val="ConsPlusCell"/>
        <w:jc w:val="both"/>
      </w:pPr>
      <w:r>
        <w:t xml:space="preserve">              </w:t>
      </w:r>
      <w:r>
        <w:t xml:space="preserve">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E22.9</w:t>
        </w:r>
      </w:hyperlink>
      <w:r>
        <w:t xml:space="preserve">  Ги</w:t>
      </w:r>
      <w:r>
        <w:t>перфункция гипофиза неуточненная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</w:t>
        </w:r>
      </w:hyperlink>
      <w:r>
        <w:t xml:space="preserve">    Адреногенитальные расстройства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E25.9</w:t>
        </w:r>
      </w:hyperlink>
      <w:r>
        <w:t xml:space="preserve">  Андрогенитальное нарушение неуточненное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E27.0</w:t>
        </w:r>
      </w:hyperlink>
      <w:r>
        <w:t xml:space="preserve">  Другие виды гиперсекреции коры</w:t>
      </w:r>
    </w:p>
    <w:p w:rsidR="00000000" w:rsidRDefault="00B00F3D">
      <w:pPr>
        <w:pStyle w:val="ConsPlusCell"/>
        <w:jc w:val="both"/>
      </w:pPr>
      <w:r>
        <w:t xml:space="preserve">                                   надпочечников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E28.0</w:t>
        </w:r>
      </w:hyperlink>
      <w:r>
        <w:t xml:space="preserve">  Избыток эстрогенов</w:t>
      </w:r>
    </w:p>
    <w:p w:rsidR="00000000" w:rsidRDefault="00B00F3D">
      <w:pPr>
        <w:pStyle w:val="ConsPlusCell"/>
        <w:jc w:val="both"/>
      </w:pPr>
      <w:r>
        <w:t xml:space="preserve">     </w:t>
      </w:r>
      <w:r>
        <w:t xml:space="preserve">           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</w:t>
        </w:r>
        <w:r>
          <w:rPr>
            <w:color w:val="0000FF"/>
          </w:rPr>
          <w:t>.0</w:t>
        </w:r>
      </w:hyperlink>
      <w:r>
        <w:t xml:space="preserve">  Гиперфункция яичек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E29.9</w:t>
        </w:r>
      </w:hyperlink>
      <w:r>
        <w:t xml:space="preserve">  Дисфункция яичек неуточненная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E30.1</w:t>
        </w:r>
      </w:hyperlink>
      <w:r>
        <w:t xml:space="preserve">  Преждевременное половое созревание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E30.8</w:t>
        </w:r>
      </w:hyperlink>
      <w:r>
        <w:t xml:space="preserve">  Другие нарушения полового созревания</w:t>
      </w:r>
    </w:p>
    <w:p w:rsidR="00000000" w:rsidRDefault="00B00F3D">
      <w:pPr>
        <w:pStyle w:val="ConsPlusCell"/>
        <w:jc w:val="both"/>
      </w:pPr>
      <w:r>
        <w:t xml:space="preserve">                            </w:t>
      </w:r>
      <w:hyperlink r:id="rId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E30.9</w:t>
        </w:r>
      </w:hyperlink>
      <w:r>
        <w:t xml:space="preserve">  Нарушение полового созревания</w:t>
      </w:r>
    </w:p>
    <w:p w:rsidR="00000000" w:rsidRDefault="00B00F3D">
      <w:pPr>
        <w:pStyle w:val="ConsPlusCell"/>
        <w:jc w:val="both"/>
      </w:pPr>
      <w:r>
        <w:t xml:space="preserve">                                   неуточненное</w:t>
      </w:r>
    </w:p>
    <w:p w:rsidR="00000000" w:rsidRDefault="00B00F3D">
      <w:pPr>
        <w:pStyle w:val="ConsPlusCell"/>
        <w:jc w:val="both"/>
      </w:pPr>
      <w:r>
        <w:t xml:space="preserve">  </w:t>
      </w:r>
      <w:r>
        <w:t xml:space="preserve">                          </w:t>
      </w:r>
      <w:hyperlink r:id="rId2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Q78.1</w:t>
        </w:r>
      </w:hyperlink>
      <w:r>
        <w:t xml:space="preserve">  Полиостозная фиброзная дисплазия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Наименование медицинской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  <w:p w:rsidR="00000000" w:rsidRDefault="00B00F3D">
            <w:pPr>
              <w:pStyle w:val="ConsPlusNonformat"/>
              <w:jc w:val="both"/>
            </w:pPr>
            <w:hyperlink w:anchor="Par1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B01.024.001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врача-нейрохирурга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B01.053.003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детского уролога-андролога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 - детского 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эндокринолога первичный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  <w:r>
        <w:t>--------------------------------</w:t>
      </w:r>
    </w:p>
    <w:p w:rsidR="00000000" w:rsidRDefault="00B00F3D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&lt;1&gt; Вероятность предоставления медицинских услуг или назначения лекарственных препаратов</w:t>
      </w:r>
      <w:r>
        <w:t xml:space="preserve">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</w:t>
      </w:r>
      <w:r>
        <w:t>занному в стандарте медицинской помощи проценту пациентов, имеющих соответствующие медицинские показания.</w:t>
      </w:r>
    </w:p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Наименование медицинской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инсулина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свободного трийодтиронина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свободного тироксина (T4)     </w:t>
            </w:r>
          </w:p>
          <w:p w:rsidR="00000000" w:rsidRDefault="00B00F3D">
            <w:pPr>
              <w:pStyle w:val="ConsPlusNonformat"/>
              <w:jc w:val="both"/>
            </w:pPr>
            <w:r>
              <w:t>сыворотки кро</w:t>
            </w:r>
            <w:r>
              <w:t xml:space="preserve">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тиреотропина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соматотропного гормона в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адренокортикотропного гормона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тестостерона </w:t>
            </w:r>
            <w:r>
              <w:t xml:space="preserve">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хорионического гонадотропина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A09.05.121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ренина в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лютеинизирующего гормона в    </w:t>
            </w:r>
          </w:p>
          <w:p w:rsidR="00000000" w:rsidRDefault="00B00F3D">
            <w:pPr>
              <w:pStyle w:val="ConsPlusNonformat"/>
              <w:jc w:val="both"/>
            </w:pPr>
            <w:r>
              <w:t>сыворотке кро</w:t>
            </w:r>
            <w:r>
              <w:t xml:space="preserve">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фолликулостимулирующего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17-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дегидроэпиандростерона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lastRenderedPageBreak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lastRenderedPageBreak/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lastRenderedPageBreak/>
              <w:t xml:space="preserve">A09.05.204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инсулиноподобного ростового   </w:t>
            </w:r>
          </w:p>
          <w:p w:rsidR="00000000" w:rsidRDefault="00B00F3D">
            <w:pPr>
              <w:pStyle w:val="ConsPlusNonformat"/>
              <w:jc w:val="both"/>
            </w:pPr>
            <w:r>
              <w:t>фактора I в к</w:t>
            </w:r>
            <w:r>
              <w:t xml:space="preserve">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A12.06.045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антител к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тиропероксидазе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Анализ крови по оценке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нарушений липидного обмена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Наименование медицинской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матки и придатков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щитовидной железы и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0,4          </w:t>
            </w: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A04.30.003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A05.11.001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томография средостения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томография головного мозга с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A05.30.004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томография органов малого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таза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A05.30.007.001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томография забрюшинного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пространства с внутривенным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контрастированием         </w:t>
            </w:r>
            <w:r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lastRenderedPageBreak/>
              <w:t xml:space="preserve">A06.03.032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A06.03.043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Рентгенография бедренной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кости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A06.30.007.002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Компьютерная томография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забрюшинного пространства с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внутривенным болюсным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>Прием (осмотр, консул</w:t>
            </w:r>
            <w:r>
              <w:t xml:space="preserve">ьтация) и наблюдение врача-специалиста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Наименование медицинской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частоты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0,75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B01.053.004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детского уролога-андролога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B01.058.004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врача - детского 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эндокринолога повторный     </w:t>
            </w:r>
            <w: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Наименование медицин</w:t>
            </w:r>
            <w:r>
              <w:t xml:space="preserve">ской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частоты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A02.01.001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Измерение массы тела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A02.03.005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Измерение роста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A11.01.002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Подкожное введение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Внутримышечное введение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12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A11.02.002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Внутримышечное введение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A11.12.003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Внутривенное введение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>Лабораторные м</w:t>
            </w:r>
            <w:r>
              <w:t xml:space="preserve">етоды исследования                           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Наименование медицинской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частоты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натрия в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калия в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A09.05.033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неорганического фосфора в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щелочной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</w:t>
            </w:r>
            <w:r>
              <w:t xml:space="preserve">уровня инсулина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свободного трийодтиронина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свободного тироксина (T4)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тиреотропина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адренокортикотропного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гормона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</w:t>
            </w:r>
            <w:r>
              <w:t xml:space="preserve">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хорионического гонадотропина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A09.05.121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Исследование уров</w:t>
            </w:r>
            <w:r>
              <w:t xml:space="preserve">ня ренина в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лютеинизирующего гормона в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фолликулостимулирующего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17-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lastRenderedPageBreak/>
              <w:t xml:space="preserve">A09.05.149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дегидроэпиандростерона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эстрадиола в </w:t>
            </w:r>
            <w:r>
              <w:t xml:space="preserve">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A09.05.204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инсулиноподобного ростового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A09.05.206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ионизированного кальция в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Коагулограмма    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(ориентировочное 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исследование системы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гемостаза)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Анализ крови </w:t>
            </w:r>
            <w:r>
              <w:t xml:space="preserve">биохимический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Анализ крови по оценке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нарушений липидного обмена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Наименование медицинской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частоты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матки и придатков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0,75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A04.22</w:t>
            </w:r>
            <w:r>
              <w:t xml:space="preserve">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щитовидной железы и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A04.28.003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0,25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A04.30.003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>томография го</w:t>
            </w:r>
            <w:r>
              <w:t xml:space="preserve">ловного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lastRenderedPageBreak/>
              <w:t>A05.23.009.001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томография головного мозга с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A06.03.061.002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Рентгеноденситометрия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проксимального отдела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Код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Наименование медицинской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частоты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0000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A13.29.003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00F3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920"/>
        <w:gridCol w:w="1920"/>
        <w:gridCol w:w="1320"/>
        <w:gridCol w:w="840"/>
        <w:gridCol w:w="960"/>
      </w:tblGrid>
      <w:tr w:rsidR="0000000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    Анатомо-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терапевтическо-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 химическая  </w:t>
            </w:r>
            <w:r>
              <w:t xml:space="preserve">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000000" w:rsidRDefault="00B00F3D">
            <w:pPr>
              <w:pStyle w:val="ConsPlusNonformat"/>
              <w:jc w:val="both"/>
            </w:pPr>
            <w:r>
              <w:t>лекарственного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препарата </w:t>
            </w:r>
            <w:hyperlink w:anchor="Par51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   частоты    </w:t>
            </w:r>
          </w:p>
          <w:p w:rsidR="00000000" w:rsidRDefault="00B00F3D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Единицы </w:t>
            </w:r>
          </w:p>
          <w:p w:rsidR="00000000" w:rsidRDefault="00B00F3D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ССД </w:t>
            </w:r>
          </w:p>
          <w:p w:rsidR="00000000" w:rsidRDefault="00B00F3D">
            <w:pPr>
              <w:pStyle w:val="ConsPlusNonformat"/>
              <w:jc w:val="both"/>
            </w:pPr>
            <w:hyperlink w:anchor="Par513" w:tooltip="&lt;***&gt; Средняя суточная доз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 СКД  </w:t>
            </w:r>
          </w:p>
          <w:p w:rsidR="00000000" w:rsidRDefault="00B00F3D">
            <w:pPr>
              <w:pStyle w:val="ConsPlusNonformat"/>
              <w:jc w:val="both"/>
            </w:pPr>
            <w:hyperlink w:anchor="Par514" w:tooltip="&lt;****&gt; Средняя курсовая доза.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A10BA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Бигуаниды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Метформин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365000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G03DB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Производные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прегнадиена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840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H01AC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Соматропин и его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агонисты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Соматропин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438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H01BA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Вазопрессин и его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аналоги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Десмопрессин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7300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Десмопрессин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73 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H02AA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Минералокортикоиды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Флудрокортизон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36,5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H03AA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Гормоны щитовидной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железы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Левотироксин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натрия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27375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Кортикостероиды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5475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600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1825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L02AE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Аналоги   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гонадотропин-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рилизинг гормона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Лейпрорелин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3,75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45 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Трипторелин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3,75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45 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Трипторелин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0,1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L02BA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Антиэстрогены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Тамоксифен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300   </w:t>
            </w: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>L02BG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Ингибиторы        </w:t>
            </w:r>
          </w:p>
          <w:p w:rsidR="00000000" w:rsidRDefault="00B00F3D">
            <w:pPr>
              <w:pStyle w:val="ConsPlusNonformat"/>
              <w:jc w:val="both"/>
            </w:pPr>
            <w:r>
              <w:t xml:space="preserve">ферментов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Анастрозол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0F3D">
            <w:pPr>
              <w:pStyle w:val="ConsPlusNonformat"/>
              <w:jc w:val="both"/>
            </w:pPr>
            <w:r>
              <w:t xml:space="preserve">30    </w:t>
            </w:r>
          </w:p>
        </w:tc>
      </w:tr>
    </w:tbl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  <w:r>
        <w:t>--------------------------------</w:t>
      </w:r>
    </w:p>
    <w:p w:rsidR="00000000" w:rsidRDefault="00B00F3D">
      <w:pPr>
        <w:pStyle w:val="ConsPlusNormal"/>
        <w:spacing w:before="200"/>
        <w:ind w:firstLine="540"/>
        <w:jc w:val="both"/>
      </w:pPr>
      <w:bookmarkStart w:id="3" w:name="Par511"/>
      <w:bookmarkEnd w:id="3"/>
      <w:r>
        <w:t xml:space="preserve">&lt;*&gt; Международная статистическая </w:t>
      </w:r>
      <w:hyperlink r:id="rId2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00F3D">
      <w:pPr>
        <w:pStyle w:val="ConsPlusNormal"/>
        <w:spacing w:before="200"/>
        <w:ind w:firstLine="540"/>
        <w:jc w:val="both"/>
      </w:pPr>
      <w:bookmarkStart w:id="4" w:name="Par51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00F3D">
      <w:pPr>
        <w:pStyle w:val="ConsPlusNormal"/>
        <w:spacing w:before="200"/>
        <w:ind w:firstLine="540"/>
        <w:jc w:val="both"/>
      </w:pPr>
      <w:bookmarkStart w:id="5" w:name="Par513"/>
      <w:bookmarkEnd w:id="5"/>
      <w:r>
        <w:t>&lt;***&gt; С</w:t>
      </w:r>
      <w:r>
        <w:t>редняя суточная доза.</w:t>
      </w:r>
    </w:p>
    <w:p w:rsidR="00000000" w:rsidRDefault="00B00F3D">
      <w:pPr>
        <w:pStyle w:val="ConsPlusNormal"/>
        <w:spacing w:before="200"/>
        <w:ind w:firstLine="540"/>
        <w:jc w:val="both"/>
      </w:pPr>
      <w:bookmarkStart w:id="6" w:name="Par514"/>
      <w:bookmarkEnd w:id="6"/>
      <w:r>
        <w:t>&lt;****&gt; Средняя курсовая доза.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  <w:r>
        <w:t>Примечания: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3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</w:t>
      </w:r>
      <w:r>
        <w:t>12, N 26, ст. 3442, 3446)).</w:t>
      </w:r>
    </w:p>
    <w:p w:rsidR="00000000" w:rsidRDefault="00B00F3D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31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</w:t>
      </w:r>
      <w:r>
        <w:t>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</w:t>
      </w:r>
      <w:r>
        <w:t xml:space="preserve">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32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</w:t>
      </w:r>
      <w:r>
        <w:lastRenderedPageBreak/>
        <w:t>числе перечень лекарственных препаратов, назначаемых по решени</w:t>
      </w:r>
      <w:r>
        <w:t>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</w:t>
      </w:r>
      <w:r>
        <w:t>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</w:t>
      </w:r>
      <w:r>
        <w:t xml:space="preserve"> здравоохранения и социального развития Российской Федерации от 19.10.2007 </w:t>
      </w:r>
      <w:hyperlink r:id="rId33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34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</w:t>
      </w:r>
      <w:r>
        <w:t xml:space="preserve">тиции Российской Федерации 10.09.2008, регистрационный N 12254), от 01.12.2008 </w:t>
      </w:r>
      <w:hyperlink r:id="rId35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36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37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B00F3D">
      <w:pPr>
        <w:pStyle w:val="ConsPlusNormal"/>
        <w:ind w:firstLine="540"/>
        <w:jc w:val="both"/>
      </w:pPr>
    </w:p>
    <w:p w:rsidR="00000000" w:rsidRDefault="00B00F3D">
      <w:pPr>
        <w:pStyle w:val="ConsPlusNormal"/>
        <w:ind w:firstLine="540"/>
        <w:jc w:val="both"/>
      </w:pPr>
    </w:p>
    <w:p w:rsidR="00B00F3D" w:rsidRDefault="00B00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0F3D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D" w:rsidRDefault="00B00F3D">
      <w:pPr>
        <w:spacing w:after="0" w:line="240" w:lineRule="auto"/>
      </w:pPr>
      <w:r>
        <w:separator/>
      </w:r>
    </w:p>
  </w:endnote>
  <w:endnote w:type="continuationSeparator" w:id="0">
    <w:p w:rsidR="00B00F3D" w:rsidRDefault="00B0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0F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F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F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F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664FA">
            <w:fldChar w:fldCharType="separate"/>
          </w:r>
          <w:r w:rsidR="006664FA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664FA">
            <w:fldChar w:fldCharType="separate"/>
          </w:r>
          <w:r w:rsidR="006664FA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B00F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D" w:rsidRDefault="00B00F3D">
      <w:pPr>
        <w:spacing w:after="0" w:line="240" w:lineRule="auto"/>
      </w:pPr>
      <w:r>
        <w:separator/>
      </w:r>
    </w:p>
  </w:footnote>
  <w:footnote w:type="continuationSeparator" w:id="0">
    <w:p w:rsidR="00B00F3D" w:rsidRDefault="00B0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F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</w:t>
          </w:r>
          <w:r>
            <w:rPr>
              <w:sz w:val="16"/>
              <w:szCs w:val="16"/>
            </w:rPr>
            <w:t>а России от 09.11.2012 N 725н</w:t>
          </w:r>
          <w:r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преж...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F3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00F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F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B00F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0F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FA"/>
    <w:rsid w:val="006664FA"/>
    <w:rsid w:val="00B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015EB0523BB3DEF10E576FA90A7753390102FAE7F03E534929818B46EA41373B4EE2E520677z6fCJ" TargetMode="External"/><Relationship Id="rId18" Type="http://schemas.openxmlformats.org/officeDocument/2006/relationships/hyperlink" Target="consultantplus://offline/ref=0015EB0523BB3DEF10E576FA90A7753390102FAE7F03E534929818B46EA41373B4EE2E5D047Dz6f3J" TargetMode="External"/><Relationship Id="rId26" Type="http://schemas.openxmlformats.org/officeDocument/2006/relationships/hyperlink" Target="consultantplus://offline/ref=0015EB0523BB3DEF10E576FA90A7753390102FAE7F03E534929818B46EA41373B4EE2E5D057Dz6fDJ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15EB0523BB3DEF10E576FA90A7753390102FAE7F03E534929818B46EA41373B4EE2E5D0570z6f7J" TargetMode="External"/><Relationship Id="rId34" Type="http://schemas.openxmlformats.org/officeDocument/2006/relationships/hyperlink" Target="consultantplus://offline/ref=0015EB0523BB3DEF10E576FA90A77533921922A8765EEF3CCB941AB3z6f1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15EB0523BB3DEF10E576FA90A7753390102FAE7F03E534929818B46EA41373B4EE2D570D70z6f3J" TargetMode="External"/><Relationship Id="rId17" Type="http://schemas.openxmlformats.org/officeDocument/2006/relationships/hyperlink" Target="consultantplus://offline/ref=0015EB0523BB3DEF10E576FA90A7753390102FAE7F03E534929818B46EA41373B4EE2E5D047Dz6f0J" TargetMode="External"/><Relationship Id="rId25" Type="http://schemas.openxmlformats.org/officeDocument/2006/relationships/hyperlink" Target="consultantplus://offline/ref=0015EB0523BB3DEF10E576FA90A7753390102FAE7F03E534929818B46EA41373B4EE2E5D057Cz6fDJ" TargetMode="External"/><Relationship Id="rId33" Type="http://schemas.openxmlformats.org/officeDocument/2006/relationships/hyperlink" Target="consultantplus://offline/ref=0015EB0523BB3DEF10E576FA90A77533931F2FA9745EEF3CCB941AB3z6f1J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5EB0523BB3DEF10E576FA90A7753390102FAE7F03E534929818B46EA41373B4EE2E520D75z6f3J" TargetMode="External"/><Relationship Id="rId20" Type="http://schemas.openxmlformats.org/officeDocument/2006/relationships/hyperlink" Target="consultantplus://offline/ref=0015EB0523BB3DEF10E576FA90A7753390102FAE7F03E534929818B46EA41373B4EE2E5D0577z6f2J" TargetMode="External"/><Relationship Id="rId29" Type="http://schemas.openxmlformats.org/officeDocument/2006/relationships/hyperlink" Target="consultantplus://offline/ref=0015EB0523BB3DEF10E576FA90A7753390102FAE7F03E534929818zBf4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5EB0523BB3DEF10E576FA90A7753390102FAE7F03E534929818B46EA41373B4EE2D570D77z6f0J" TargetMode="External"/><Relationship Id="rId24" Type="http://schemas.openxmlformats.org/officeDocument/2006/relationships/hyperlink" Target="consultantplus://offline/ref=0015EB0523BB3DEF10E576FA90A7753390102FAE7F03E534929818B46EA41373B4EE2E5D057Cz6f0J" TargetMode="External"/><Relationship Id="rId32" Type="http://schemas.openxmlformats.org/officeDocument/2006/relationships/hyperlink" Target="consultantplus://offline/ref=0015EB0523BB3DEF10E576FA90A77533951D2EAF705EEF3CCB941AB361FB0474FDE22C55047261zFf4J" TargetMode="External"/><Relationship Id="rId37" Type="http://schemas.openxmlformats.org/officeDocument/2006/relationships/hyperlink" Target="consultantplus://offline/ref=0015EB0523BB3DEF10E576FA90A77533951D20AB765EEF3CCB941AB3z6f1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15EB0523BB3DEF10E576FA90A7753390102FAE7F03E534929818B46EA41373B4EE2E52067Dz6f2J" TargetMode="External"/><Relationship Id="rId23" Type="http://schemas.openxmlformats.org/officeDocument/2006/relationships/hyperlink" Target="consultantplus://offline/ref=0015EB0523BB3DEF10E576FA90A7753390102FAE7F03E534929818B46EA41373B4EE2E5D057Cz6f7J" TargetMode="External"/><Relationship Id="rId28" Type="http://schemas.openxmlformats.org/officeDocument/2006/relationships/hyperlink" Target="consultantplus://offline/ref=0015EB0523BB3DEF10E576FA90A7753390102FAE7F03E534929818B46EA41373B4EE295D0373z6f6J" TargetMode="External"/><Relationship Id="rId36" Type="http://schemas.openxmlformats.org/officeDocument/2006/relationships/hyperlink" Target="consultantplus://offline/ref=0015EB0523BB3DEF10E576FA90A7753392182EAE725EEF3CCB941AB3z6f1J" TargetMode="External"/><Relationship Id="rId10" Type="http://schemas.openxmlformats.org/officeDocument/2006/relationships/hyperlink" Target="consultantplus://offline/ref=0015EB0523BB3DEF10E576FA90A7753390102FAE7F03E534929818zBf4J" TargetMode="External"/><Relationship Id="rId19" Type="http://schemas.openxmlformats.org/officeDocument/2006/relationships/hyperlink" Target="consultantplus://offline/ref=0015EB0523BB3DEF10E576FA90A7753390102FAE7F03E534929818B46EA41373B4EE2D560D70z6f5J" TargetMode="External"/><Relationship Id="rId31" Type="http://schemas.openxmlformats.org/officeDocument/2006/relationships/hyperlink" Target="consultantplus://offline/ref=0015EB0523BB3DEF10E569E596A77533901D20AC7450B236C3CD16B166zF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5EB0523BB3DEF10E576FA90A77533961D22A8745EEF3CCB941AB361FB0474FDE22C5504776CzFf0J" TargetMode="External"/><Relationship Id="rId14" Type="http://schemas.openxmlformats.org/officeDocument/2006/relationships/hyperlink" Target="consultantplus://offline/ref=0015EB0523BB3DEF10E576FA90A7753390102FAE7F03E534929818B46EA41373B4EE2D560475z6f6J" TargetMode="External"/><Relationship Id="rId22" Type="http://schemas.openxmlformats.org/officeDocument/2006/relationships/hyperlink" Target="consultantplus://offline/ref=0015EB0523BB3DEF10E576FA90A7753390102FAE7F03E534929818B46EA41373B4EE2E5D0572z6f1J" TargetMode="External"/><Relationship Id="rId27" Type="http://schemas.openxmlformats.org/officeDocument/2006/relationships/hyperlink" Target="consultantplus://offline/ref=0015EB0523BB3DEF10E576FA90A7753390102FAE7F03E534929818B46EA41373B4EE2E5D057Dz6fCJ" TargetMode="External"/><Relationship Id="rId30" Type="http://schemas.openxmlformats.org/officeDocument/2006/relationships/hyperlink" Target="consultantplus://offline/ref=0015EB0523BB3DEF10E576FA90A77533961D22A8745EEF3CCB941AB361FB0474FDE22C55047064zFf6J" TargetMode="External"/><Relationship Id="rId35" Type="http://schemas.openxmlformats.org/officeDocument/2006/relationships/hyperlink" Target="consultantplus://offline/ref=0015EB0523BB3DEF10E576FA90A77533921822A6745EEF3CCB941AB3z6f1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4685</Words>
  <Characters>26711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725н"Об утверждении стандарта первичной медико-санитарной помощи детям при преждевременном половом созревании, в том числе вторичного генеза"(Зарегистрировано в Минюсте России 13.02.2013 N 27056)</vt:lpstr>
    </vt:vector>
  </TitlesOfParts>
  <Company>КонсультантПлюс Версия 4016.00.46</Company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725н"Об утверждении стандарта первичной медико-санитарной помощи детям при преждевременном половом созревании, в том числе вторичного генеза"(Зарегистрировано в Минюсте России 13.02.2013 N 27056)</dc:title>
  <dc:creator>Муржак Ирина Дмитриевна</dc:creator>
  <cp:lastModifiedBy>Муржак Ирина Дмитриевна</cp:lastModifiedBy>
  <cp:revision>2</cp:revision>
  <dcterms:created xsi:type="dcterms:W3CDTF">2017-07-21T06:30:00Z</dcterms:created>
  <dcterms:modified xsi:type="dcterms:W3CDTF">2017-07-21T06:30:00Z</dcterms:modified>
</cp:coreProperties>
</file>