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32722">
        <w:trPr>
          <w:trHeight w:hRule="exact" w:val="3031"/>
        </w:trPr>
        <w:tc>
          <w:tcPr>
            <w:tcW w:w="10716" w:type="dxa"/>
          </w:tcPr>
          <w:p w:rsidR="00000000" w:rsidRPr="00532722" w:rsidRDefault="00532722">
            <w:pPr>
              <w:pStyle w:val="ConsPlusTitlePage"/>
            </w:pPr>
            <w:bookmarkStart w:id="0" w:name="_GoBack"/>
            <w:bookmarkEnd w:id="0"/>
            <w:r w:rsidRPr="0053272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532722">
        <w:trPr>
          <w:trHeight w:hRule="exact" w:val="8335"/>
        </w:trPr>
        <w:tc>
          <w:tcPr>
            <w:tcW w:w="10716" w:type="dxa"/>
            <w:vAlign w:val="center"/>
          </w:tcPr>
          <w:p w:rsidR="00000000" w:rsidRPr="00532722" w:rsidRDefault="0053272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32722">
              <w:rPr>
                <w:sz w:val="48"/>
                <w:szCs w:val="48"/>
              </w:rPr>
              <w:t xml:space="preserve"> Приказ Минздрава России от 29.12.2012 N 1676н</w:t>
            </w:r>
            <w:r w:rsidRPr="00532722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метилмалоновой ацидемии"</w:t>
            </w:r>
            <w:r w:rsidRPr="00532722">
              <w:rPr>
                <w:sz w:val="48"/>
                <w:szCs w:val="48"/>
              </w:rPr>
              <w:br/>
              <w:t>(Зарегистрировано в Минюсте России 25.03.2013 N 27860)</w:t>
            </w:r>
          </w:p>
        </w:tc>
      </w:tr>
      <w:tr w:rsidR="00000000" w:rsidRPr="00532722">
        <w:trPr>
          <w:trHeight w:hRule="exact" w:val="3031"/>
        </w:trPr>
        <w:tc>
          <w:tcPr>
            <w:tcW w:w="10716" w:type="dxa"/>
            <w:vAlign w:val="center"/>
          </w:tcPr>
          <w:p w:rsidR="00000000" w:rsidRPr="00532722" w:rsidRDefault="0053272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32722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53272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3272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32722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32722">
              <w:rPr>
                <w:sz w:val="28"/>
                <w:szCs w:val="28"/>
              </w:rPr>
              <w:t xml:space="preserve"> </w:t>
            </w:r>
            <w:r w:rsidRPr="00532722">
              <w:rPr>
                <w:sz w:val="28"/>
                <w:szCs w:val="28"/>
              </w:rPr>
              <w:br/>
            </w:r>
            <w:r w:rsidRPr="00532722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532722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32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32722">
      <w:pPr>
        <w:pStyle w:val="ConsPlusNormal"/>
        <w:jc w:val="both"/>
        <w:outlineLvl w:val="0"/>
      </w:pPr>
    </w:p>
    <w:p w:rsidR="00000000" w:rsidRDefault="00532722">
      <w:pPr>
        <w:pStyle w:val="ConsPlusNormal"/>
        <w:outlineLvl w:val="0"/>
      </w:pPr>
      <w:r>
        <w:t>Зарегистрировано в Минюсте России 25 марта 2013 г. N 27860</w:t>
      </w:r>
    </w:p>
    <w:p w:rsidR="00000000" w:rsidRDefault="00532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2722">
      <w:pPr>
        <w:pStyle w:val="ConsPlusNormal"/>
      </w:pPr>
    </w:p>
    <w:p w:rsidR="00000000" w:rsidRDefault="0053272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32722">
      <w:pPr>
        <w:pStyle w:val="ConsPlusTitle"/>
        <w:jc w:val="center"/>
      </w:pPr>
    </w:p>
    <w:p w:rsidR="00000000" w:rsidRDefault="00532722">
      <w:pPr>
        <w:pStyle w:val="ConsPlusTitle"/>
        <w:jc w:val="center"/>
      </w:pPr>
      <w:r>
        <w:t>ПРИКАЗ</w:t>
      </w:r>
    </w:p>
    <w:p w:rsidR="00000000" w:rsidRDefault="00532722">
      <w:pPr>
        <w:pStyle w:val="ConsPlusTitle"/>
        <w:jc w:val="center"/>
      </w:pPr>
      <w:r>
        <w:t>от 29 декабря 2012 г. N 1676н</w:t>
      </w:r>
    </w:p>
    <w:p w:rsidR="00000000" w:rsidRDefault="00532722">
      <w:pPr>
        <w:pStyle w:val="ConsPlusTitle"/>
        <w:jc w:val="center"/>
      </w:pPr>
    </w:p>
    <w:p w:rsidR="00000000" w:rsidRDefault="00532722">
      <w:pPr>
        <w:pStyle w:val="ConsPlusTitle"/>
        <w:jc w:val="center"/>
      </w:pPr>
      <w:r>
        <w:t>ОБ УТВЕРЖДЕНИИ СТАНДАРТА</w:t>
      </w:r>
    </w:p>
    <w:p w:rsidR="00000000" w:rsidRDefault="00532722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532722">
      <w:pPr>
        <w:pStyle w:val="ConsPlusTitle"/>
        <w:jc w:val="center"/>
      </w:pPr>
      <w:r>
        <w:t>ПРИ МЕТИЛМАЛОНОВОЙ АЦИДЕМИИ</w:t>
      </w:r>
    </w:p>
    <w:p w:rsidR="00000000" w:rsidRDefault="00532722">
      <w:pPr>
        <w:pStyle w:val="ConsPlusNormal"/>
        <w:jc w:val="center"/>
      </w:pPr>
    </w:p>
    <w:p w:rsidR="00000000" w:rsidRDefault="00532722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</w:t>
      </w:r>
      <w:r>
        <w:t>ние законодательства Российской Федерации, 2011, N 48, ст. 6724; 2012, N 26, ст. 3442, 3446) приказываю:</w:t>
      </w:r>
    </w:p>
    <w:p w:rsidR="00000000" w:rsidRDefault="00532722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метилмалоновой ацидемии согласно приложению.</w:t>
      </w:r>
    </w:p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jc w:val="right"/>
      </w:pPr>
      <w:r>
        <w:t>Министр</w:t>
      </w:r>
    </w:p>
    <w:p w:rsidR="00000000" w:rsidRDefault="00532722">
      <w:pPr>
        <w:pStyle w:val="ConsPlusNormal"/>
        <w:jc w:val="right"/>
      </w:pPr>
      <w:r>
        <w:t>В.И.СКВОРЦОВА</w:t>
      </w:r>
    </w:p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jc w:val="right"/>
        <w:outlineLvl w:val="0"/>
      </w:pPr>
      <w:r>
        <w:t>Приложение</w:t>
      </w:r>
    </w:p>
    <w:p w:rsidR="00000000" w:rsidRDefault="00532722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532722">
      <w:pPr>
        <w:pStyle w:val="ConsPlusNormal"/>
        <w:jc w:val="right"/>
      </w:pPr>
      <w:r>
        <w:t>Российской Федерации</w:t>
      </w:r>
    </w:p>
    <w:p w:rsidR="00000000" w:rsidRDefault="00532722">
      <w:pPr>
        <w:pStyle w:val="ConsPlusNormal"/>
        <w:jc w:val="right"/>
      </w:pPr>
      <w:r>
        <w:t>от 29 декабря 2012 г. N 1676н</w:t>
      </w:r>
    </w:p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532722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532722">
      <w:pPr>
        <w:pStyle w:val="ConsPlusTitle"/>
        <w:jc w:val="center"/>
      </w:pPr>
      <w:r>
        <w:t>ПРИ МЕТИЛМАЛОНОВОЙ АЦИДЕМИИ</w:t>
      </w:r>
    </w:p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532722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532722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532722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532722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532722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532722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532722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532722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7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532722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532722">
      <w:pPr>
        <w:pStyle w:val="ConsPlusNormal"/>
        <w:jc w:val="both"/>
      </w:pPr>
    </w:p>
    <w:p w:rsidR="00000000" w:rsidRDefault="00532722">
      <w:pPr>
        <w:pStyle w:val="ConsPlusCell"/>
        <w:jc w:val="both"/>
      </w:pPr>
      <w:r>
        <w:lastRenderedPageBreak/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E71.1</w:t>
        </w:r>
      </w:hyperlink>
      <w:r>
        <w:t xml:space="preserve">  Другие виды нарушений обмена</w:t>
      </w:r>
    </w:p>
    <w:p w:rsidR="00000000" w:rsidRDefault="00532722">
      <w:pPr>
        <w:pStyle w:val="ConsPlusCell"/>
        <w:jc w:val="both"/>
      </w:pPr>
      <w:r>
        <w:t xml:space="preserve">                                        аминокислот с разветвленной цепью</w:t>
      </w:r>
    </w:p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ind w:firstLine="540"/>
        <w:jc w:val="both"/>
        <w:outlineLvl w:val="1"/>
      </w:pPr>
      <w:r>
        <w:t>1. Мед</w:t>
      </w:r>
      <w:r>
        <w:t>ицинские мероприятия для диагностики заболевания, состояния</w:t>
      </w:r>
    </w:p>
    <w:p w:rsidR="00000000" w:rsidRDefault="00532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000000" w:rsidRPr="00532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  <w:outlineLvl w:val="2"/>
            </w:pPr>
            <w:r w:rsidRPr="00532722">
              <w:t xml:space="preserve">Прием (осмотр, консультация) врача-специалиста             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Код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медицинской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Наименование медицинской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Усредненный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>показатель частоты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предоставления </w:t>
            </w:r>
            <w:hyperlink w:anchor="Par10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532722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Усредненный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показатель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кратности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применения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B01.004.001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гастроэнтеролога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0,3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B01.006.001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</w:t>
            </w:r>
            <w:r w:rsidRPr="00532722">
              <w:t xml:space="preserve">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генетика первичный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B01.008.001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дерматовенеролога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B01.013.001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диетолога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B01.015.003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детского кардиолога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 </w:t>
            </w:r>
            <w:r w:rsidRPr="00532722">
              <w:t xml:space="preserve">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B01.023.001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невролога первичный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B01.025.001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нефролога первичный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B01.029.001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офтальмолога первичный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B01.031.003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педиатра участкового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B01.035.007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психиатра детского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участкового первичный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0,4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</w:tbl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ind w:firstLine="540"/>
        <w:jc w:val="both"/>
      </w:pPr>
      <w:r>
        <w:t>--------------------------------</w:t>
      </w:r>
    </w:p>
    <w:p w:rsidR="00000000" w:rsidRDefault="00532722">
      <w:pPr>
        <w:pStyle w:val="ConsPlusNormal"/>
        <w:spacing w:before="200"/>
        <w:ind w:firstLine="540"/>
        <w:jc w:val="both"/>
      </w:pPr>
      <w:bookmarkStart w:id="2" w:name="Par105"/>
      <w:bookmarkEnd w:id="2"/>
      <w:r>
        <w:t xml:space="preserve">&lt;1&gt; Вероятность предоставления медицинских услуг или назначения лекарственных препаратов для </w:t>
      </w:r>
      <w:r>
        <w:lastRenderedPageBreak/>
        <w:t>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</w:t>
      </w:r>
      <w:r>
        <w:t>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532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532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  <w:outlineLvl w:val="2"/>
            </w:pPr>
            <w:r w:rsidRPr="00532722">
              <w:t xml:space="preserve">Лабораторные методы исследования                        </w:t>
            </w:r>
            <w:r w:rsidRPr="00532722">
              <w:t xml:space="preserve">     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Код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медицинской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Наименование медицинской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Усредненный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показатель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частоты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Усредненный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показатель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кратности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применения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общего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глобулина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A09.05.013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Определение     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альбумин/глобулинового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соотношения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A09.05.016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аммиака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A09.05.032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общего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кальция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A09.05.033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неорганического фосфора в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A09.05.037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концентрации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водородных ионов (pH)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2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A09.05.046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  </w:t>
            </w:r>
            <w:r w:rsidRPr="00532722">
              <w:t xml:space="preserve">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щелочной фосфатазы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A09.05.099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аминокислотного состава и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концентрации аминокислот в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A09.05.206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ионизированного кальция в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A09.05.207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молочной кислоты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A09.28.002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Исследование аминокисл</w:t>
            </w:r>
            <w:r w:rsidRPr="00532722">
              <w:t xml:space="preserve">от и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метаболитов в моче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A09.28.006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креатинина в моче (проба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Реберга)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A09.28.021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Определение объема мочи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A12.05.056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Идентификация генов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A12.05.056.002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Идентификация генов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методом полимеразной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цепной реакции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lastRenderedPageBreak/>
              <w:t xml:space="preserve">A26.28.003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Микробиологическое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мочи на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аэробные и факультативно-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анаэробные условно-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Общий (клинический) анализ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  <w:r w:rsidRPr="00532722"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B03.016.004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Анализ крови биохимический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  <w:tr w:rsidR="00000000" w:rsidRPr="00532722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</w:t>
            </w:r>
          </w:p>
        </w:tc>
      </w:tr>
    </w:tbl>
    <w:p w:rsidR="00000000" w:rsidRDefault="00532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532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  <w:outlineLvl w:val="2"/>
            </w:pPr>
            <w:r w:rsidRPr="00532722">
              <w:t xml:space="preserve">Инструментальные методы исследования                       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Код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медицинской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Наименование медицинской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Усредненный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показатель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частоты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Усредненный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показатель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кратности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применения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A04.10.002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Эхокардиография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A04.23.001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Нейросонография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A05.10.006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Регистрация    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>электрокардиограм</w:t>
            </w:r>
            <w:r w:rsidRPr="00532722">
              <w:t xml:space="preserve">мы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A05.23.001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Электроэнцефалография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0,9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A05.23.009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Магнитно-резонансная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томография головного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мозга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0,7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B03.052.001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Комплексное    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ультразвуковое 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внутренних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органов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</w:tbl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532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2400"/>
        <w:gridCol w:w="2040"/>
      </w:tblGrid>
      <w:tr w:rsidR="00000000" w:rsidRPr="00532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  <w:outlineLvl w:val="2"/>
            </w:pPr>
            <w:r w:rsidRPr="00532722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Код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медицинской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Наименование медицинской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Усредненный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показатель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частоты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Усредненный </w:t>
            </w:r>
            <w:r w:rsidRPr="00532722">
              <w:t xml:space="preserve">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показатель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кратности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применения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B01.004.002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гастроэнтеролога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B01.006.002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генетика повторный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B01.008.002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lastRenderedPageBreak/>
              <w:t xml:space="preserve">дерматовенеролога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lastRenderedPageBreak/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lastRenderedPageBreak/>
              <w:t xml:space="preserve">B01.013.002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диетолога повторный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B01.015.004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детского кардиолога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</w:t>
            </w:r>
            <w:r w:rsidRPr="00532722">
              <w:t xml:space="preserve">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B01.023.002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невролога повторный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0,8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4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B01.025.002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нефролога повторный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2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B01.031.004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педиатра участкового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повторный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5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B01.035.008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Прием (осмотр,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консультация) врача-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психиатра детского   </w:t>
            </w:r>
            <w:r w:rsidRPr="00532722">
              <w:t xml:space="preserve">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участкового повторный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B01.054.001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Осмотр (консультация)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врача-физиотерапевта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</w:tbl>
    <w:p w:rsidR="00000000" w:rsidRDefault="00532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2640"/>
        <w:gridCol w:w="2400"/>
      </w:tblGrid>
      <w:tr w:rsidR="00000000" w:rsidRPr="00532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  <w:outlineLvl w:val="2"/>
            </w:pPr>
            <w:r w:rsidRPr="00532722">
              <w:t xml:space="preserve">Наблюдение и уход за пациентом медицинскими работниками со средним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(начальным) профессиональным образованием                                </w:t>
            </w:r>
          </w:p>
        </w:tc>
      </w:tr>
      <w:tr w:rsidR="00000000" w:rsidRPr="00532722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Код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медицинской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услуги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Наименование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Усредненный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показатель частоты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Усредненный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показатель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кратности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применения    </w:t>
            </w:r>
          </w:p>
        </w:tc>
      </w:tr>
      <w:tr w:rsidR="00000000" w:rsidRPr="00532722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B02.031.001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Патронаж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педиатрической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сестры на дому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0,4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4                 </w:t>
            </w:r>
          </w:p>
        </w:tc>
      </w:tr>
    </w:tbl>
    <w:p w:rsidR="00000000" w:rsidRDefault="00532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532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  <w:outlineLvl w:val="2"/>
            </w:pPr>
            <w:r w:rsidRPr="00532722">
              <w:t xml:space="preserve">Лабораторные методы исследования                           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Код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медицинской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Наименование медицинской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Усредненный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показатель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частоты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Усредненный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показатель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кратности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применения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A09.05.007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Исследование ур</w:t>
            </w:r>
            <w:r w:rsidRPr="00532722">
              <w:t xml:space="preserve">овня железа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A09.05.012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общего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глобулина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A09.05.013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Определение     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lastRenderedPageBreak/>
              <w:t xml:space="preserve">альбумин/глобулинового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соотношения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lastRenderedPageBreak/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lastRenderedPageBreak/>
              <w:t xml:space="preserve">A09.05.016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Исследование уровня аммиака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A09.05.032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общего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A09.05.033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неорганического фосфора в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A09.05.037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концентрации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>водородных ионов (pH) крови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4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A09.05</w:t>
            </w:r>
            <w:r w:rsidRPr="00532722">
              <w:t xml:space="preserve">.046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A09.05.099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аминокислотного состава и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концентрации аминокислот в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A09.05.206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ионизированного кальция в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A09.28.006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уровня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креатинина в моче (проба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Реберга)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</w:t>
            </w:r>
            <w:r w:rsidRPr="00532722">
              <w:t xml:space="preserve">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A09.28.012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Исследование уровня кальция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в моче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A09.28.015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Обнаружение кетоновых тел в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моче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4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Общий (клинический) анализ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4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Анализ крови биохимический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4             </w:t>
            </w:r>
          </w:p>
        </w:tc>
      </w:tr>
    </w:tbl>
    <w:p w:rsidR="00000000" w:rsidRDefault="00532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280"/>
        <w:gridCol w:w="2040"/>
      </w:tblGrid>
      <w:tr w:rsidR="00000000" w:rsidRPr="00532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  <w:outlineLvl w:val="2"/>
            </w:pPr>
            <w:r w:rsidRPr="00532722">
              <w:t xml:space="preserve">Инструментальные методы исследования                       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Код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медицинской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Наименование медицинской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Усредненный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показатель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частоты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Усредненный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показатель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кратности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применения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A05.23.001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Электроэнцефалография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  <w:tr w:rsidR="00000000" w:rsidRPr="00532722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B03.052.001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Комплексное    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ультразвуковое 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исследование внутренних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органов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</w:t>
            </w:r>
            <w:r w:rsidRPr="00532722">
              <w:t xml:space="preserve">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</w:t>
            </w:r>
          </w:p>
        </w:tc>
      </w:tr>
    </w:tbl>
    <w:p w:rsidR="00000000" w:rsidRDefault="00532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2280"/>
        <w:gridCol w:w="2040"/>
      </w:tblGrid>
      <w:tr w:rsidR="00000000" w:rsidRPr="00532722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  <w:outlineLvl w:val="2"/>
            </w:pPr>
            <w:r w:rsidRPr="00532722">
              <w:lastRenderedPageBreak/>
              <w:t>Немедикаментозные методы профилактики, лечения и медицинской реабилитации</w:t>
            </w:r>
          </w:p>
        </w:tc>
      </w:tr>
      <w:tr w:rsidR="00000000" w:rsidRPr="0053272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 Код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медицинской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услуги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Наименование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Усредненный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показатель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 частоты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Усредненный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показатель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кратности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применения   </w:t>
            </w:r>
          </w:p>
        </w:tc>
      </w:tr>
      <w:tr w:rsidR="00000000" w:rsidRPr="0053272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A13.29.003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Психологическая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адаптация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2              </w:t>
            </w:r>
          </w:p>
        </w:tc>
      </w:tr>
      <w:tr w:rsidR="00000000" w:rsidRPr="0053272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A19.23.002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Лечебная физкультура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при заболеваниях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центральной нервной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системы и головного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мозга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20             </w:t>
            </w:r>
          </w:p>
        </w:tc>
      </w:tr>
      <w:tr w:rsidR="00000000" w:rsidRPr="0053272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A19.23.002.016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Механотерапия при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заболеваниях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центральной нервной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системы и головного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мозга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</w:t>
            </w:r>
            <w:r w:rsidRPr="00532722"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10             </w:t>
            </w:r>
          </w:p>
        </w:tc>
      </w:tr>
      <w:tr w:rsidR="00000000" w:rsidRPr="0053272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A21.23.001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Массаж при  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заболеваниях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центральной нервной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системы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20             </w:t>
            </w:r>
          </w:p>
        </w:tc>
      </w:tr>
      <w:tr w:rsidR="00000000" w:rsidRPr="00532722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A21.30.003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Массаж при   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заболеваниях нервной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системы у детей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раннего возраста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40             </w:t>
            </w:r>
          </w:p>
        </w:tc>
      </w:tr>
    </w:tbl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53272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2040"/>
        <w:gridCol w:w="1920"/>
        <w:gridCol w:w="1320"/>
        <w:gridCol w:w="960"/>
        <w:gridCol w:w="1080"/>
      </w:tblGrid>
      <w:tr w:rsidR="00000000" w:rsidRPr="00532722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Код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 Анатомо-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терапевтическо-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химическая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классификация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Наименование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лекарственного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препарата </w:t>
            </w:r>
            <w:hyperlink w:anchor="Par47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532722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Усредненный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показатель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 частоты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Единицы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ССД  </w:t>
            </w:r>
          </w:p>
          <w:p w:rsidR="00000000" w:rsidRPr="00532722" w:rsidRDefault="00532722">
            <w:pPr>
              <w:pStyle w:val="ConsPlusNonformat"/>
              <w:jc w:val="both"/>
            </w:pPr>
            <w:hyperlink w:anchor="Par475" w:tooltip="&lt;***&gt; Средняя суточная доза." w:history="1">
              <w:r w:rsidRPr="00532722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  СКД  </w:t>
            </w:r>
          </w:p>
          <w:p w:rsidR="00000000" w:rsidRPr="00532722" w:rsidRDefault="00532722">
            <w:pPr>
              <w:pStyle w:val="ConsPlusNonformat"/>
              <w:jc w:val="both"/>
            </w:pPr>
            <w:hyperlink w:anchor="Par476" w:tooltip="&lt;****&gt; Средняя курсовая доза." w:history="1">
              <w:r w:rsidRPr="00532722">
                <w:rPr>
                  <w:color w:val="0000FF"/>
                </w:rPr>
                <w:t>&lt;****&gt;</w:t>
              </w:r>
            </w:hyperlink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A11CC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Витамин D и его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аналоги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Колекальциферол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2000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90000  </w:t>
            </w: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A11DA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Витамин B1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Тиамин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25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1050   </w:t>
            </w: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A11HA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Другие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витаминные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препараты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0,462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Пиридоксин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20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1800   </w:t>
            </w: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Рибофлавин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600    </w:t>
            </w: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A12AA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Препараты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кальция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Кальция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глюконат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22,5   </w:t>
            </w: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A16AA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Аминокислоты и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их производные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Левокарнитин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1000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365000 </w:t>
            </w: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B03BA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Витамин B12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(цианокобаламин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 его аналоги)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Цианокобаламин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365    </w:t>
            </w: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B05XA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Растворы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электролитов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Натрия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гидрокарбонат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109,5  </w:t>
            </w: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J01CA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Пенициллины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>широкого спектра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действия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Ампициллин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21000  </w:t>
            </w: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J01XD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Производные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имидазола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Метронидазол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200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8400   </w:t>
            </w: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N03AF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Производные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карбоксамида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Карбамазепин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600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219000 </w:t>
            </w: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N03AG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Производные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жирных кислот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Вальпроевая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кислота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1500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547500 </w:t>
            </w: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>N06BX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Другие      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>психостимуляторы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и ноотропные 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препараты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0,9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Глицин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300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54000  </w:t>
            </w: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Гопантеновая   </w:t>
            </w:r>
          </w:p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кислота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1,5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90     </w:t>
            </w:r>
          </w:p>
        </w:tc>
      </w:tr>
      <w:tr w:rsidR="00000000" w:rsidRPr="00532722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Пирацетам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800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32722" w:rsidRDefault="00532722">
            <w:pPr>
              <w:pStyle w:val="ConsPlusNonformat"/>
              <w:jc w:val="both"/>
            </w:pPr>
            <w:r w:rsidRPr="00532722">
              <w:t xml:space="preserve">24000  </w:t>
            </w:r>
          </w:p>
        </w:tc>
      </w:tr>
    </w:tbl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ind w:firstLine="540"/>
        <w:jc w:val="both"/>
      </w:pPr>
      <w:r>
        <w:t>--------------------------------</w:t>
      </w:r>
    </w:p>
    <w:p w:rsidR="00000000" w:rsidRDefault="00532722">
      <w:pPr>
        <w:pStyle w:val="ConsPlusNormal"/>
        <w:spacing w:before="200"/>
        <w:ind w:firstLine="540"/>
        <w:jc w:val="both"/>
      </w:pPr>
      <w:bookmarkStart w:id="3" w:name="Par473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532722">
      <w:pPr>
        <w:pStyle w:val="ConsPlusNormal"/>
        <w:spacing w:before="200"/>
        <w:ind w:firstLine="540"/>
        <w:jc w:val="both"/>
      </w:pPr>
      <w:bookmarkStart w:id="4" w:name="Par474"/>
      <w:bookmarkEnd w:id="4"/>
      <w:r>
        <w:t>&lt;**&gt; Международное непатентованное или химическое наименование лекарственного препарата, а в сл</w:t>
      </w:r>
      <w:r>
        <w:t>учаях их отсутствия - торговое наименование лекарственного препарата.</w:t>
      </w:r>
    </w:p>
    <w:p w:rsidR="00000000" w:rsidRDefault="00532722">
      <w:pPr>
        <w:pStyle w:val="ConsPlusNormal"/>
        <w:spacing w:before="200"/>
        <w:ind w:firstLine="540"/>
        <w:jc w:val="both"/>
      </w:pPr>
      <w:bookmarkStart w:id="5" w:name="Par475"/>
      <w:bookmarkEnd w:id="5"/>
      <w:r>
        <w:t>&lt;***&gt; Средняя суточная доза.</w:t>
      </w:r>
    </w:p>
    <w:p w:rsidR="00000000" w:rsidRDefault="00532722">
      <w:pPr>
        <w:pStyle w:val="ConsPlusNormal"/>
        <w:spacing w:before="200"/>
        <w:ind w:firstLine="540"/>
        <w:jc w:val="both"/>
      </w:pPr>
      <w:bookmarkStart w:id="6" w:name="Par476"/>
      <w:bookmarkEnd w:id="6"/>
      <w:r>
        <w:lastRenderedPageBreak/>
        <w:t>&lt;****&gt; Средняя курсовая доза.</w:t>
      </w:r>
    </w:p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ind w:firstLine="540"/>
        <w:jc w:val="both"/>
      </w:pPr>
      <w:r>
        <w:t>Примечания:</w:t>
      </w:r>
    </w:p>
    <w:p w:rsidR="00000000" w:rsidRDefault="00532722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532722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532722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</w:t>
      </w:r>
      <w:r>
        <w:t>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</w:t>
      </w:r>
      <w:r>
        <w:t xml:space="preserve">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</w:t>
      </w:r>
      <w:r>
        <w:t xml:space="preserve">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</w:t>
      </w:r>
      <w:r>
        <w:t xml:space="preserve">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</w:t>
      </w:r>
      <w:r>
        <w:t xml:space="preserve">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</w:t>
      </w:r>
      <w:r>
        <w:t xml:space="preserve">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 Дети</w:t>
      </w:r>
      <w:r>
        <w:t xml:space="preserve">-инвалиды при оказании медицинской помощи в амбулаторных условиях обеспечиваются специализированными продуктами лечебного питания, включенными в </w:t>
      </w:r>
      <w:hyperlink r:id="rId20" w:tooltip="Приказ Минздравсоцразвития России от 09.01.2007 N 1 (ред. от 04.03.2008) &quot;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31.01.2007 N 8871){КонсультантПлюс}" w:history="1">
        <w:r>
          <w:rPr>
            <w:color w:val="0000FF"/>
          </w:rPr>
          <w:t>Перечень</w:t>
        </w:r>
      </w:hyperlink>
      <w:r>
        <w:t xml:space="preserve"> изделий медицинског</w:t>
      </w:r>
      <w:r>
        <w:t>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</w:t>
      </w:r>
      <w:r>
        <w:t xml:space="preserve"> социальной помощи, утвержденный приказом Министерства здравоохранения и социального развития Российской Федерации от 09.01.2007 N 1 (зарегистрирован Министерством юстиции Российской Федерации 31.01.2007 N 8871).</w:t>
      </w:r>
    </w:p>
    <w:p w:rsidR="00000000" w:rsidRDefault="00532722">
      <w:pPr>
        <w:pStyle w:val="ConsPlusNormal"/>
        <w:ind w:firstLine="540"/>
        <w:jc w:val="both"/>
      </w:pPr>
    </w:p>
    <w:p w:rsidR="00000000" w:rsidRDefault="00532722">
      <w:pPr>
        <w:pStyle w:val="ConsPlusNormal"/>
        <w:ind w:firstLine="540"/>
        <w:jc w:val="both"/>
      </w:pPr>
    </w:p>
    <w:p w:rsidR="00532722" w:rsidRDefault="00532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32722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22" w:rsidRDefault="00532722">
      <w:pPr>
        <w:spacing w:after="0" w:line="240" w:lineRule="auto"/>
      </w:pPr>
      <w:r>
        <w:separator/>
      </w:r>
    </w:p>
  </w:endnote>
  <w:endnote w:type="continuationSeparator" w:id="0">
    <w:p w:rsidR="00532722" w:rsidRDefault="0053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27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3272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2722" w:rsidRDefault="0053272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3272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3272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2722" w:rsidRDefault="0053272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3272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2722" w:rsidRDefault="00532722">
          <w:pPr>
            <w:pStyle w:val="ConsPlusNormal"/>
            <w:jc w:val="right"/>
          </w:pPr>
          <w:r w:rsidRPr="00532722">
            <w:t xml:space="preserve">Страница </w:t>
          </w:r>
          <w:r w:rsidRPr="00532722">
            <w:fldChar w:fldCharType="begin"/>
          </w:r>
          <w:r w:rsidRPr="00532722">
            <w:instrText>\PAGE</w:instrText>
          </w:r>
          <w:r w:rsidR="002271BD" w:rsidRPr="00532722">
            <w:fldChar w:fldCharType="separate"/>
          </w:r>
          <w:r w:rsidR="002271BD" w:rsidRPr="00532722">
            <w:rPr>
              <w:noProof/>
            </w:rPr>
            <w:t>10</w:t>
          </w:r>
          <w:r w:rsidRPr="00532722">
            <w:fldChar w:fldCharType="end"/>
          </w:r>
          <w:r w:rsidRPr="00532722">
            <w:t xml:space="preserve"> из </w:t>
          </w:r>
          <w:r w:rsidRPr="00532722">
            <w:fldChar w:fldCharType="begin"/>
          </w:r>
          <w:r w:rsidRPr="00532722">
            <w:instrText>\NUMPAGES</w:instrText>
          </w:r>
          <w:r w:rsidR="002271BD" w:rsidRPr="00532722">
            <w:fldChar w:fldCharType="separate"/>
          </w:r>
          <w:r w:rsidR="002271BD" w:rsidRPr="00532722">
            <w:rPr>
              <w:noProof/>
            </w:rPr>
            <w:t>10</w:t>
          </w:r>
          <w:r w:rsidRPr="00532722">
            <w:fldChar w:fldCharType="end"/>
          </w:r>
        </w:p>
      </w:tc>
    </w:tr>
  </w:tbl>
  <w:p w:rsidR="00000000" w:rsidRDefault="0053272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22" w:rsidRDefault="00532722">
      <w:pPr>
        <w:spacing w:after="0" w:line="240" w:lineRule="auto"/>
      </w:pPr>
      <w:r>
        <w:separator/>
      </w:r>
    </w:p>
  </w:footnote>
  <w:footnote w:type="continuationSeparator" w:id="0">
    <w:p w:rsidR="00532722" w:rsidRDefault="0053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3272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2722" w:rsidRDefault="00532722">
          <w:pPr>
            <w:pStyle w:val="ConsPlusNormal"/>
            <w:rPr>
              <w:sz w:val="16"/>
              <w:szCs w:val="16"/>
            </w:rPr>
          </w:pPr>
          <w:r w:rsidRPr="00532722">
            <w:rPr>
              <w:sz w:val="16"/>
              <w:szCs w:val="16"/>
            </w:rPr>
            <w:t>Приказ Минздрава России от 29.12.2012 N 1676н</w:t>
          </w:r>
          <w:r w:rsidRPr="00532722">
            <w:rPr>
              <w:sz w:val="16"/>
              <w:szCs w:val="16"/>
            </w:rPr>
            <w:br/>
            <w:t>"Об утверждении стандарта первичной медико-санит</w:t>
          </w:r>
          <w:r w:rsidRPr="00532722">
            <w:rPr>
              <w:sz w:val="16"/>
              <w:szCs w:val="16"/>
            </w:rPr>
            <w:t>арной помощи детям при мет...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2722" w:rsidRDefault="0053272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532722" w:rsidRDefault="0053272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32722" w:rsidRDefault="00532722">
          <w:pPr>
            <w:pStyle w:val="ConsPlusNormal"/>
            <w:jc w:val="right"/>
            <w:rPr>
              <w:sz w:val="16"/>
              <w:szCs w:val="16"/>
            </w:rPr>
          </w:pPr>
          <w:r w:rsidRPr="0053272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53272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32722">
            <w:rPr>
              <w:sz w:val="18"/>
              <w:szCs w:val="18"/>
            </w:rPr>
            <w:br/>
          </w:r>
          <w:r w:rsidRPr="00532722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5327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27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1BD"/>
    <w:rsid w:val="002271BD"/>
    <w:rsid w:val="0053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540955D7FE397FC63E0C5AEF2B72C1688323ECBA2E3D280BE32AD30EE081D25ABDE848ED69C6Fe0K" TargetMode="External"/><Relationship Id="rId13" Type="http://schemas.openxmlformats.org/officeDocument/2006/relationships/hyperlink" Target="consultantplus://offline/ref=855540955D7FE397FC63FFDAA8F2B72C1088303ACBACBED888E73EAF376Ee1K" TargetMode="External"/><Relationship Id="rId18" Type="http://schemas.openxmlformats.org/officeDocument/2006/relationships/hyperlink" Target="consultantplus://offline/ref=855540955D7FE397FC63E0C5AEF2B72C128D3E38CDA2E3D280BE32AD63e0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55540955D7FE397FC63E0C5AEF2B72C1688323ECBA2E3D280BE32AD30EE081D25ABDE848ED1946Fe6K" TargetMode="External"/><Relationship Id="rId17" Type="http://schemas.openxmlformats.org/officeDocument/2006/relationships/hyperlink" Target="consultantplus://offline/ref=855540955D7FE397FC63E0C5AEF2B72C128D3230CBA2E3D280BE32AD63e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5540955D7FE397FC63E0C5AEF2B72C128C323EC9A2E3D280BE32AD63e0K" TargetMode="External"/><Relationship Id="rId20" Type="http://schemas.openxmlformats.org/officeDocument/2006/relationships/hyperlink" Target="consultantplus://offline/ref=855540955D7FE397FC63E0C5AEF2B72C1384313BC2A2E3D280BE32AD30EE081D25ABDE848ED5946Fe5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55540955D7FE397FC63E0C5AEF2B72C10853F38C0FFE9DAD9B2306AeA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55540955D7FE397FC63E0C5AEF2B72C138A3F3FCBA2E3D280BE32AD63e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55540955D7FE397FC63E0C5AEF2B72C10853F38C0FFE9DAD9B230AA3FB11F1A6CA7DC8C8AD569e5K" TargetMode="External"/><Relationship Id="rId19" Type="http://schemas.openxmlformats.org/officeDocument/2006/relationships/hyperlink" Target="consultantplus://offline/ref=855540955D7FE397FC63E0C5AEF2B72C1588303DC9A2E3D280BE32AD63e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5540955D7FE397FC63E0C5AEF2B72C10853F38C0FFE9DAD9B2306AeAK" TargetMode="External"/><Relationship Id="rId14" Type="http://schemas.openxmlformats.org/officeDocument/2006/relationships/hyperlink" Target="consultantplus://offline/ref=855540955D7FE397FC63E0C5AEF2B72C15883E39CFA2E3D280BE32AD30EE081D25ABDE848ED3916Fe4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3851</Words>
  <Characters>21954</Characters>
  <Application>Microsoft Office Word</Application>
  <DocSecurity>2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1676н"Об утверждении стандарта первичной медико-санитарной помощи детям при метилмалоновой ацидемии"(Зарегистрировано в Минюсте России 25.03.2013 N 27860)</vt:lpstr>
    </vt:vector>
  </TitlesOfParts>
  <Company>КонсультантПлюс Версия 4016.00.46</Company>
  <LinksUpToDate>false</LinksUpToDate>
  <CharactersWithSpaces>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1676н"Об утверждении стандарта первичной медико-санитарной помощи детям при метилмалоновой ацидемии"(Зарегистрировано в Минюсте России 25.03.2013 N 27860)</dc:title>
  <dc:creator>Муржак Ирина Дмитриевна</dc:creator>
  <cp:lastModifiedBy>Муржак Ирина Дмитриевна</cp:lastModifiedBy>
  <cp:revision>2</cp:revision>
  <dcterms:created xsi:type="dcterms:W3CDTF">2017-07-21T07:25:00Z</dcterms:created>
  <dcterms:modified xsi:type="dcterms:W3CDTF">2017-07-21T07:25:00Z</dcterms:modified>
</cp:coreProperties>
</file>