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A6817">
        <w:trPr>
          <w:trHeight w:hRule="exact" w:val="3031"/>
        </w:trPr>
        <w:tc>
          <w:tcPr>
            <w:tcW w:w="10716" w:type="dxa"/>
          </w:tcPr>
          <w:p w:rsidR="00000000" w:rsidRPr="005A6817" w:rsidRDefault="005A6817">
            <w:pPr>
              <w:pStyle w:val="ConsPlusTitlePage"/>
            </w:pPr>
            <w:bookmarkStart w:id="0" w:name="_GoBack"/>
            <w:bookmarkEnd w:id="0"/>
            <w:r w:rsidRPr="005A681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5A6817">
        <w:trPr>
          <w:trHeight w:hRule="exact" w:val="8335"/>
        </w:trPr>
        <w:tc>
          <w:tcPr>
            <w:tcW w:w="10716" w:type="dxa"/>
            <w:vAlign w:val="center"/>
          </w:tcPr>
          <w:p w:rsidR="00000000" w:rsidRPr="005A6817" w:rsidRDefault="005A681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A6817">
              <w:rPr>
                <w:sz w:val="48"/>
                <w:szCs w:val="48"/>
              </w:rPr>
              <w:t xml:space="preserve"> Приказ Минздрава России от 09.11.2012 N 865н</w:t>
            </w:r>
            <w:r w:rsidRPr="005A6817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юношеском (ювенильном) артрите"</w:t>
            </w:r>
            <w:r w:rsidRPr="005A6817">
              <w:rPr>
                <w:sz w:val="48"/>
                <w:szCs w:val="48"/>
              </w:rPr>
              <w:br/>
              <w:t>(Зарегистрировано в Минюсте России 15.02.2013 N 27123)</w:t>
            </w:r>
          </w:p>
        </w:tc>
      </w:tr>
      <w:tr w:rsidR="00000000" w:rsidRPr="005A6817">
        <w:trPr>
          <w:trHeight w:hRule="exact" w:val="3031"/>
        </w:trPr>
        <w:tc>
          <w:tcPr>
            <w:tcW w:w="10716" w:type="dxa"/>
            <w:vAlign w:val="center"/>
          </w:tcPr>
          <w:p w:rsidR="00000000" w:rsidRPr="005A6817" w:rsidRDefault="005A681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A6817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A681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A681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A681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A6817">
              <w:rPr>
                <w:sz w:val="28"/>
                <w:szCs w:val="28"/>
              </w:rPr>
              <w:t xml:space="preserve"> </w:t>
            </w:r>
            <w:r w:rsidRPr="005A6817">
              <w:rPr>
                <w:sz w:val="28"/>
                <w:szCs w:val="28"/>
              </w:rPr>
              <w:br/>
            </w:r>
            <w:r w:rsidRPr="005A6817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5A681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A6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A6817">
      <w:pPr>
        <w:pStyle w:val="ConsPlusNormal"/>
        <w:jc w:val="both"/>
        <w:outlineLvl w:val="0"/>
      </w:pPr>
    </w:p>
    <w:p w:rsidR="00000000" w:rsidRDefault="005A6817">
      <w:pPr>
        <w:pStyle w:val="ConsPlusNormal"/>
        <w:outlineLvl w:val="0"/>
      </w:pPr>
      <w:r>
        <w:t>Зарегистрировано в Минюсте России 15 февраля 2013 г. N 27123</w:t>
      </w:r>
    </w:p>
    <w:p w:rsidR="00000000" w:rsidRDefault="005A6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A6817">
      <w:pPr>
        <w:pStyle w:val="ConsPlusNormal"/>
      </w:pPr>
    </w:p>
    <w:p w:rsidR="00000000" w:rsidRDefault="005A681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A6817">
      <w:pPr>
        <w:pStyle w:val="ConsPlusTitle"/>
        <w:jc w:val="center"/>
      </w:pPr>
    </w:p>
    <w:p w:rsidR="00000000" w:rsidRDefault="005A6817">
      <w:pPr>
        <w:pStyle w:val="ConsPlusTitle"/>
        <w:jc w:val="center"/>
      </w:pPr>
      <w:r>
        <w:t>ПРИКАЗ</w:t>
      </w:r>
    </w:p>
    <w:p w:rsidR="00000000" w:rsidRDefault="005A6817">
      <w:pPr>
        <w:pStyle w:val="ConsPlusTitle"/>
        <w:jc w:val="center"/>
      </w:pPr>
      <w:r>
        <w:t>от 9 ноября 2012 г. N 865н</w:t>
      </w:r>
    </w:p>
    <w:p w:rsidR="00000000" w:rsidRDefault="005A6817">
      <w:pPr>
        <w:pStyle w:val="ConsPlusTitle"/>
        <w:jc w:val="center"/>
      </w:pPr>
    </w:p>
    <w:p w:rsidR="00000000" w:rsidRDefault="005A6817">
      <w:pPr>
        <w:pStyle w:val="ConsPlusTitle"/>
        <w:jc w:val="center"/>
      </w:pPr>
      <w:r>
        <w:t>ОБ УТВЕРЖДЕНИИ СТАНДАРТА</w:t>
      </w:r>
    </w:p>
    <w:p w:rsidR="00000000" w:rsidRDefault="005A6817">
      <w:pPr>
        <w:pStyle w:val="ConsPlusTitle"/>
        <w:jc w:val="center"/>
      </w:pPr>
      <w:r>
        <w:t>ПЕРВИЧНОЙ МЕДИКО-САНИТАРНОЙ ПОМОЩИ ДЕТЯМ ПРИ ЮНОШЕСКОМ</w:t>
      </w:r>
    </w:p>
    <w:p w:rsidR="00000000" w:rsidRDefault="005A6817">
      <w:pPr>
        <w:pStyle w:val="ConsPlusTitle"/>
        <w:jc w:val="center"/>
      </w:pPr>
      <w:r>
        <w:t>(ЮВЕНИЛЬНОМ) АРТРИТЕ</w:t>
      </w: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</w:t>
      </w:r>
      <w:r>
        <w:t xml:space="preserve"> (Собрание законодательства Российской Федерации, 2011, N 48, ст. 6724; 2012, N 26, ст. 3442, 3446) приказываю: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юношеском (ювенильном) артрите согласно приложению.</w:t>
      </w: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jc w:val="right"/>
      </w:pPr>
      <w:r>
        <w:t>Министр</w:t>
      </w:r>
    </w:p>
    <w:p w:rsidR="00000000" w:rsidRDefault="005A6817">
      <w:pPr>
        <w:pStyle w:val="ConsPlusNormal"/>
        <w:jc w:val="right"/>
      </w:pPr>
      <w:r>
        <w:t>В.И.СКВОРЦОВА</w:t>
      </w: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jc w:val="right"/>
        <w:outlineLvl w:val="0"/>
      </w:pPr>
      <w:r>
        <w:t>Приложение</w:t>
      </w:r>
    </w:p>
    <w:p w:rsidR="00000000" w:rsidRDefault="005A681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5A6817">
      <w:pPr>
        <w:pStyle w:val="ConsPlusNormal"/>
        <w:jc w:val="right"/>
      </w:pPr>
      <w:r>
        <w:t>Российской Федерации</w:t>
      </w:r>
    </w:p>
    <w:p w:rsidR="00000000" w:rsidRDefault="005A6817">
      <w:pPr>
        <w:pStyle w:val="ConsPlusNormal"/>
        <w:jc w:val="right"/>
      </w:pPr>
      <w:r>
        <w:t>от 9 ноября 2012 г. N 865н</w:t>
      </w: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5A6817">
      <w:pPr>
        <w:pStyle w:val="ConsPlusTitle"/>
        <w:jc w:val="center"/>
      </w:pPr>
      <w:r>
        <w:t>ПЕРВИЧНОЙ МЕДИКО-САНИТАРНОЙ ПОМОЩИ ДЕТЯМ ПРИ ЮНОШЕСКОМ</w:t>
      </w:r>
    </w:p>
    <w:p w:rsidR="00000000" w:rsidRDefault="005A6817">
      <w:pPr>
        <w:pStyle w:val="ConsPlusTitle"/>
        <w:jc w:val="center"/>
      </w:pPr>
      <w:r>
        <w:t>(ЮВЕНИЛЬНОМ) АРТРИТЕ</w:t>
      </w: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>Фаза: стабилизация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>Осложнение: вне зависимости от осложнений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>Условия</w:t>
      </w:r>
      <w:r>
        <w:t xml:space="preserve"> оказания медицинской помощи: амбулаторно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>Средние сроки лечения (количество дней): 180</w:t>
      </w: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37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5A6817">
      <w:pPr>
        <w:pStyle w:val="ConsPlusNormal"/>
        <w:spacing w:before="200"/>
        <w:ind w:firstLine="540"/>
        <w:jc w:val="both"/>
      </w:pPr>
      <w:r>
        <w:t>Нозологические е</w:t>
      </w:r>
      <w:r>
        <w:t>диницы</w:t>
      </w:r>
    </w:p>
    <w:p w:rsidR="00000000" w:rsidRDefault="005A6817">
      <w:pPr>
        <w:pStyle w:val="ConsPlusNormal"/>
        <w:jc w:val="both"/>
      </w:pPr>
    </w:p>
    <w:p w:rsidR="00000000" w:rsidRDefault="005A6817">
      <w:pPr>
        <w:pStyle w:val="ConsPlusCell"/>
        <w:jc w:val="both"/>
      </w:pPr>
      <w:r>
        <w:lastRenderedPageBreak/>
        <w:t xml:space="preserve">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M08.0</w:t>
        </w:r>
      </w:hyperlink>
      <w:r>
        <w:t xml:space="preserve">  Юношеский ревматоидный артрит</w:t>
      </w:r>
    </w:p>
    <w:p w:rsidR="00000000" w:rsidRDefault="005A6817">
      <w:pPr>
        <w:pStyle w:val="ConsPlusCell"/>
        <w:jc w:val="both"/>
      </w:pPr>
      <w:r>
        <w:t xml:space="preserve">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M08.1</w:t>
        </w:r>
      </w:hyperlink>
      <w:r>
        <w:t xml:space="preserve">  Юношеский анкилозирующий спондилит</w:t>
      </w:r>
    </w:p>
    <w:p w:rsidR="00000000" w:rsidRDefault="005A6817">
      <w:pPr>
        <w:pStyle w:val="ConsPlusCell"/>
        <w:jc w:val="both"/>
      </w:pPr>
      <w:r>
        <w:t xml:space="preserve">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M08.3</w:t>
        </w:r>
      </w:hyperlink>
      <w:r>
        <w:t xml:space="preserve">  Юношеский полиартрит (серонегативный)</w:t>
      </w:r>
    </w:p>
    <w:p w:rsidR="00000000" w:rsidRDefault="005A6817">
      <w:pPr>
        <w:pStyle w:val="ConsPlusCell"/>
        <w:jc w:val="both"/>
      </w:pPr>
      <w:r>
        <w:t xml:space="preserve">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M08.4</w:t>
        </w:r>
      </w:hyperlink>
      <w:r>
        <w:t xml:space="preserve">  Пауциартикулярный юношеский артрит</w:t>
      </w: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</w:t>
      </w:r>
      <w:r>
        <w:t>вания, состояния</w:t>
      </w:r>
    </w:p>
    <w:p w:rsidR="00000000" w:rsidRDefault="005A681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2520"/>
        <w:gridCol w:w="1560"/>
      </w:tblGrid>
      <w:tr w:rsidR="00000000" w:rsidRPr="005A6817">
        <w:trPr>
          <w:trHeight w:val="240"/>
        </w:trPr>
        <w:tc>
          <w:tcPr>
            <w:tcW w:w="8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outlineLvl w:val="2"/>
            </w:pPr>
            <w:r w:rsidRPr="005A6817">
              <w:t xml:space="preserve">Прием (осмотр, консультация) врача-специалиста      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Код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медицинской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Наименование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Усредненный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показатель частоты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предоставления </w:t>
            </w:r>
            <w:hyperlink w:anchor="Par106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5A6817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Усредненный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показатель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кратности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применения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B01.020.0</w:t>
            </w:r>
            <w:r w:rsidRPr="005A6817">
              <w:t>04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врача по лечебной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физкультуре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первичный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B01.023.001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врача-невролога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первичный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B01.028.001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врача-   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оториноларинголога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первичный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B01.029.001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врача-офтальмолога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первичный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</w:t>
            </w:r>
            <w:r w:rsidRPr="005A6817">
              <w:t xml:space="preserve">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B01.040.001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врача-ревматолога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первичный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B01.050.001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врача-   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травматолога-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ортопеда первичный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B01.058.003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врача - детского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эндокринолога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первичный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B01.064.003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врача-стоматолога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детского первичный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</w:tbl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</w:pPr>
      <w:r>
        <w:t>--------------------------------</w:t>
      </w:r>
    </w:p>
    <w:p w:rsidR="00000000" w:rsidRDefault="005A6817">
      <w:pPr>
        <w:pStyle w:val="ConsPlusNormal"/>
        <w:spacing w:before="200"/>
        <w:ind w:firstLine="540"/>
        <w:jc w:val="both"/>
      </w:pPr>
      <w:bookmarkStart w:id="2" w:name="Par106"/>
      <w:bookmarkEnd w:id="2"/>
      <w:r>
        <w:lastRenderedPageBreak/>
        <w:t>&lt;1&gt; Вероятность предоставления медицинских услуг или назначения лекарственных препаратов для медицинского применения (медицинских изделий</w:t>
      </w:r>
      <w:r>
        <w:t>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</w:t>
      </w:r>
      <w:r>
        <w:t>ациентов, имеющих соответствующие медицинские показания.</w:t>
      </w:r>
    </w:p>
    <w:p w:rsidR="00000000" w:rsidRDefault="005A681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2520"/>
        <w:gridCol w:w="1560"/>
      </w:tblGrid>
      <w:tr w:rsidR="00000000" w:rsidRPr="005A6817">
        <w:trPr>
          <w:trHeight w:val="240"/>
        </w:trPr>
        <w:tc>
          <w:tcPr>
            <w:tcW w:w="8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outlineLvl w:val="2"/>
            </w:pPr>
            <w:r w:rsidRPr="005A6817">
              <w:t xml:space="preserve">Лабораторные методы исследования                    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Код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медицинской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Наименование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Усредненный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показатель частоты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предоставления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Усредненный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показатель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кратности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применения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A09.05.009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Определение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концентрации C-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реактивного белка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 сыворотке крови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A09.05.054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Исследование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уровня   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сывороточных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иммуноглобулинов в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крови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A12.06.010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Исследование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антител к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антигенам ядра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клетки и ДНК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A12.06.015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Определение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антист</w:t>
            </w:r>
            <w:r w:rsidRPr="005A6817">
              <w:t xml:space="preserve">рептолизина-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O в сыворотке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крови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A12.06.019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Исследование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ревматоидных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факторов в крови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A12.26.002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Очаговая проба с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туберкулином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B03.016.002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Общий    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(клинический)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анализ крови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B03.016.064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Анализ крови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биохимический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общетерапевтический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</w:tbl>
    <w:p w:rsidR="00000000" w:rsidRDefault="005A681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2520"/>
        <w:gridCol w:w="1560"/>
      </w:tblGrid>
      <w:tr w:rsidR="00000000" w:rsidRPr="005A6817">
        <w:trPr>
          <w:trHeight w:val="240"/>
        </w:trPr>
        <w:tc>
          <w:tcPr>
            <w:tcW w:w="8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outlineLvl w:val="2"/>
            </w:pPr>
            <w:r w:rsidRPr="005A6817">
              <w:t xml:space="preserve">Инструментальные методы исследования                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Код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медицинской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услуги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Наименование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медицинской услуги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Усредненный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показатель частоты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предоставления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Усредненный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показатель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кратности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применения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A04.10.002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Эхокардиография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A05.10.006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Регистрация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электрокардиограммы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lastRenderedPageBreak/>
              <w:t xml:space="preserve">A06.03.032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Рентгенография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кисти руки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A06.03.041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Рентгенография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всего таза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A06.03.042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Рентгенография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головки и шейки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бедренной кости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A06.03.052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Рентгенография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стопы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</w:t>
            </w:r>
            <w:r w:rsidRPr="005A6817">
              <w:t xml:space="preserve">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A06.04.003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Рентгенография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локтевого сустава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A06.04.004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Рентгенография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лучезапястного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сустава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A06.04.005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Рентгенография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коленного сустава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A06.04.010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Рентгенография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плечевого сустава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A06.04.012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Рентгенография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голеностопного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сустава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A06.09.007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Рентгенография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легких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B03.052.001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Комплексное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ультразвуковое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исследование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внутренних органов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</w:t>
            </w:r>
          </w:p>
        </w:tc>
      </w:tr>
    </w:tbl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5A681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1920"/>
        <w:gridCol w:w="1680"/>
      </w:tblGrid>
      <w:tr w:rsidR="00000000" w:rsidRPr="005A6817">
        <w:trPr>
          <w:trHeight w:val="240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outlineLvl w:val="2"/>
            </w:pPr>
            <w:r w:rsidRPr="005A6817">
              <w:t xml:space="preserve">Прием (осмотр, консультация) и наблюдение врача-специалиста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Код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медицинской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Наименование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Усредненный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показатель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</w:t>
            </w:r>
            <w:r w:rsidRPr="005A6817">
              <w:t xml:space="preserve"> частоты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Усредненный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показатель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кратности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применения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B01.003.001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Осмотр     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(консультация)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врача-анестезиолога-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реаниматолога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B01.020.005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врача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 лечебной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физкультуре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повторный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B01.023.002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врача-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невролога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lastRenderedPageBreak/>
              <w:t>B01.029.002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врача-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офтальмолога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повторный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B01.040.002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врача-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ревматолога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повторный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5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B01.050.00</w:t>
            </w:r>
            <w:r w:rsidRPr="005A6817">
              <w:t>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врача-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травматолога-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ортопеда повторный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B01.058.004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консультация) врача -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детского   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эндокринолога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повторный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B01.064.004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Прием (осмотр,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консультация) врача-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стоматолога детского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повторный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</w:tbl>
    <w:p w:rsidR="00000000" w:rsidRDefault="005A681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1920"/>
        <w:gridCol w:w="1680"/>
      </w:tblGrid>
      <w:tr w:rsidR="00000000" w:rsidRPr="005A6817">
        <w:trPr>
          <w:trHeight w:val="240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outlineLvl w:val="2"/>
            </w:pPr>
            <w:r w:rsidRPr="005A6817">
              <w:t xml:space="preserve">Наблюдение и уход за пациентом медицинскими работниками со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средним (начальным) профессиональным образованием 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Код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медицинской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Наименование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Усредненный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показатель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частоты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Усредненный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показатель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кратности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применения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A11.01.002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Подкожное введение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лекарственных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препаратов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60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A11.02.002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Внутримышечное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введение   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лекарственных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препаратов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30          </w:t>
            </w:r>
          </w:p>
        </w:tc>
      </w:tr>
    </w:tbl>
    <w:p w:rsidR="00000000" w:rsidRDefault="005A681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1920"/>
        <w:gridCol w:w="1680"/>
      </w:tblGrid>
      <w:tr w:rsidR="00000000" w:rsidRPr="005A6817">
        <w:trPr>
          <w:trHeight w:val="240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outlineLvl w:val="2"/>
            </w:pPr>
            <w:r w:rsidRPr="005A6817">
              <w:t>Лабораторные методы</w:t>
            </w:r>
            <w:r w:rsidRPr="005A6817">
              <w:t xml:space="preserve"> исследования                  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Код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медицинской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Наименование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Усредненный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показатель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частоты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Усредненный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показатель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кратности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применения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A09.05.009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Определение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концентрации C-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реактивного белка в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сыворотке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2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A12.06.010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Исследование антител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 антигенам ядра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клетки и ДНК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lastRenderedPageBreak/>
              <w:t xml:space="preserve">A12.06.015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Определение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антистрептолизина-O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 сыворотке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A12.06.019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Исследование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ревматоидных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факторов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2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B03.016.002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Общий (клинический)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анализ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5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B03.016.004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Анализ крови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биохимический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общетерапевтический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5           </w:t>
            </w:r>
          </w:p>
        </w:tc>
      </w:tr>
    </w:tbl>
    <w:p w:rsidR="00000000" w:rsidRDefault="005A681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1920"/>
        <w:gridCol w:w="1680"/>
      </w:tblGrid>
      <w:tr w:rsidR="00000000" w:rsidRPr="005A6817">
        <w:trPr>
          <w:trHeight w:val="240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outlineLvl w:val="2"/>
            </w:pPr>
            <w:r w:rsidRPr="005A6817">
              <w:t xml:space="preserve">Инструментальные методы исследования              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Код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медицинской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Наименование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Усредненный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показатель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частоты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Усредненный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показатель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кратности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применения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A04.10.002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Эхокардиография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A05.10.006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Регистрация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электрокардиограммы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A06.09.007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Рентгенография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легких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B03.052.001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Комплексное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ультразвуковое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исследование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внутренних органов  </w:t>
            </w:r>
            <w:r w:rsidRPr="005A6817"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</w:tbl>
    <w:p w:rsidR="00000000" w:rsidRDefault="005A681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1920"/>
        <w:gridCol w:w="1680"/>
      </w:tblGrid>
      <w:tr w:rsidR="00000000" w:rsidRPr="005A6817">
        <w:trPr>
          <w:trHeight w:val="240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outlineLvl w:val="2"/>
            </w:pPr>
            <w:r w:rsidRPr="005A6817">
              <w:t xml:space="preserve">Хирургические, эндоскопические, эндоваскулярные и другие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методы лечения, требующие анестезиологического и/или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реаниматологического сопровождения                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Код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медицинской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Наименование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Усредненный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показатель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частоты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Усредненный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показатель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кратности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применения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A11.04.004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Внутрисуставное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введение   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лекарственных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препаратов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2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A11.26.011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Пара- и    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ретробульбарные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инъекции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5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>B01.003.004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Анестезиологическое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пособие (включая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раннее          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послеоперационное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ведение)           </w:t>
            </w:r>
            <w:r w:rsidRPr="005A6817"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           </w:t>
            </w:r>
          </w:p>
        </w:tc>
      </w:tr>
    </w:tbl>
    <w:p w:rsidR="00000000" w:rsidRDefault="005A681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1920"/>
        <w:gridCol w:w="1680"/>
      </w:tblGrid>
      <w:tr w:rsidR="00000000" w:rsidRPr="005A6817">
        <w:trPr>
          <w:trHeight w:val="240"/>
        </w:trPr>
        <w:tc>
          <w:tcPr>
            <w:tcW w:w="79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outlineLvl w:val="2"/>
            </w:pPr>
            <w:r w:rsidRPr="005A6817">
              <w:lastRenderedPageBreak/>
              <w:t xml:space="preserve">Немедикаметозные методы профилактики, лечения и медицинской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реабилитации                                       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Код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медицинской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 Наименование 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медицинской услуги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Усредненный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показатель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  частоты  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Усредненный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показатель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кратности  </w:t>
            </w:r>
          </w:p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 применения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A21.01.003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Массаж шеи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10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A21.01.004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Массаж рук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10          </w:t>
            </w:r>
          </w:p>
        </w:tc>
      </w:tr>
      <w:tr w:rsidR="00000000" w:rsidRPr="005A681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A21.01.009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Массаж ног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</w:pPr>
            <w:r w:rsidRPr="005A6817">
              <w:t xml:space="preserve">10          </w:t>
            </w:r>
          </w:p>
        </w:tc>
      </w:tr>
    </w:tbl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5A681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2484"/>
        <w:gridCol w:w="1944"/>
        <w:gridCol w:w="1728"/>
        <w:gridCol w:w="1188"/>
        <w:gridCol w:w="1080"/>
        <w:gridCol w:w="1296"/>
      </w:tblGrid>
      <w:tr w:rsidR="00000000" w:rsidRPr="005A6817">
        <w:trPr>
          <w:trHeight w:val="24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Код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     Анатомо-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  терапевтическо-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    химическая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   классификация   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 Наименование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лекарственного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препарата </w:t>
            </w:r>
            <w:hyperlink w:anchor="Par538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5A6817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Усредненный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 показатель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  частоты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предоставления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Единицы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  ССД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39" w:tooltip="&lt;***&gt; Средняя суточная доза." w:history="1">
              <w:r w:rsidRPr="005A6817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   СКД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540" w:tooltip="&lt;****&gt; Средняя курсовая доза." w:history="1">
              <w:r w:rsidRPr="005A6817">
                <w:rPr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A02BC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Ингибиторы  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протонового насоса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Омепразол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1200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Эзомепразол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560 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A02BX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Другие препараты для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лечения язвенной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болезни желудка и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двенадцатиперстной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кишки и     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гастроэзофагальной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рефлюксной болезни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Висмута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трикалия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дицитрат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360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10080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A11CC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Витамин D и его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аналоги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Колекальциферол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667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120060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B03BB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Фолиевая кислота и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ее производные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Фолиевая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5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780 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C07AB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Селективные бета-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адреноблокаторы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Атенолол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100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18000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Бисопролол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1800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C08CA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Производные 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дигидропиридина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Амлодипин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1800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Нифедипин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7200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C09AA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Ингибиторы АПФ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Каптоприл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75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13500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Эналаприл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1800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H02AB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Глюкокортикоиды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0,12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Бетаметазон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7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21  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Метилпреднизолон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8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1440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1800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H05BA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Препараты   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кальцитонина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Кальцитонин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МЕ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36000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J01CR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Комбинации  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пенициллинов,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включая комбинации с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ингибиторами бета-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лактамаз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Амоксициллин +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[Клавулановая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кислота]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1500 +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350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10500 +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2625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J01DD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Цефалоспорины 3-го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поколения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Цефтриаксон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2000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14000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J01EE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Комбинированные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препараты   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сульфаниламидов и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триметоприма,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включая производные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Ко-тримоксазол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960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13440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J01FA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Макролиды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Кларитромицин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1000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14000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J01MA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Фторхинолоны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Ломефлоксацин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5000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J02AC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Производные триазола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Флуконазол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350 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J04AC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Гидразиды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Изониазид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500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90000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L01BA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Аналоги фолиевой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кислоты 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Метотрексат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480 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Метотрексат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20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480 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lastRenderedPageBreak/>
              <w:t>L04AA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Селективные 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иммунодепрессанты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Абатацепт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750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4500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L04AB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Ингибиторы фактора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некроза опухоли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альфа (ФНО-альфа)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Адалимумаб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40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480 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Этанерцепт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50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1200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L04AD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Ингибиторы  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кальциневрина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Циклоспорин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36000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M01AB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Производные уксусной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кислоты и   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родственные 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соединения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Диклофенак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150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13500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M01AC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Оксикамы 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Мелоксикам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15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315 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M01AX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Другие нестероидные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противовоспалительные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и                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противоревматические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препараты  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Нимесулид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200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4800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>M05BA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Бифосфонаты     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Алендроновая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10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240       </w:t>
            </w:r>
          </w:p>
        </w:tc>
      </w:tr>
      <w:tr w:rsidR="00000000" w:rsidRPr="005A6817">
        <w:trPr>
          <w:trHeight w:val="240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Ибандроновая    </w:t>
            </w:r>
          </w:p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кислота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3 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A6817" w:rsidRDefault="005A6817">
            <w:pPr>
              <w:pStyle w:val="ConsPlusNonformat"/>
              <w:jc w:val="both"/>
              <w:rPr>
                <w:sz w:val="18"/>
                <w:szCs w:val="18"/>
              </w:rPr>
            </w:pPr>
            <w:r w:rsidRPr="005A6817">
              <w:rPr>
                <w:sz w:val="18"/>
                <w:szCs w:val="18"/>
              </w:rPr>
              <w:t xml:space="preserve">6         </w:t>
            </w:r>
          </w:p>
        </w:tc>
      </w:tr>
    </w:tbl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</w:pPr>
      <w:r>
        <w:t>--------------------------------</w:t>
      </w:r>
    </w:p>
    <w:p w:rsidR="00000000" w:rsidRDefault="005A6817">
      <w:pPr>
        <w:pStyle w:val="ConsPlusNormal"/>
        <w:spacing w:before="200"/>
        <w:ind w:firstLine="540"/>
        <w:jc w:val="both"/>
      </w:pPr>
      <w:bookmarkStart w:id="3" w:name="Par537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5A6817">
      <w:pPr>
        <w:pStyle w:val="ConsPlusNormal"/>
        <w:spacing w:before="200"/>
        <w:ind w:firstLine="540"/>
        <w:jc w:val="both"/>
      </w:pPr>
      <w:bookmarkStart w:id="4" w:name="Par538"/>
      <w:bookmarkEnd w:id="4"/>
      <w:r>
        <w:t>&lt;**&gt; Международное непатентованное или химическое наименование ле</w:t>
      </w:r>
      <w:r>
        <w:t>карственного препарата, а в случаях их отсутствия - торговое наименование лекарственного препарата.</w:t>
      </w:r>
    </w:p>
    <w:p w:rsidR="00000000" w:rsidRDefault="005A6817">
      <w:pPr>
        <w:pStyle w:val="ConsPlusNormal"/>
        <w:spacing w:before="200"/>
        <w:ind w:firstLine="540"/>
        <w:jc w:val="both"/>
      </w:pPr>
      <w:bookmarkStart w:id="5" w:name="Par539"/>
      <w:bookmarkEnd w:id="5"/>
      <w:r>
        <w:t>&lt;***&gt; Средняя суточная доза.</w:t>
      </w:r>
    </w:p>
    <w:p w:rsidR="00000000" w:rsidRDefault="005A6817">
      <w:pPr>
        <w:pStyle w:val="ConsPlusNormal"/>
        <w:spacing w:before="200"/>
        <w:ind w:firstLine="540"/>
        <w:jc w:val="both"/>
      </w:pPr>
      <w:bookmarkStart w:id="6" w:name="Par540"/>
      <w:bookmarkEnd w:id="6"/>
      <w:r>
        <w:t>&lt;****&gt; Средняя курсовая доза.</w:t>
      </w: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</w:pPr>
      <w:r>
        <w:t>Примечания: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</w:t>
      </w:r>
      <w:r>
        <w:t>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</w:t>
      </w:r>
      <w:r>
        <w:t xml:space="preserve">ной Всемирной организацией здравоохранения, а также с учетом способа введения и применения лекарственного препарата. При </w:t>
      </w:r>
      <w:r>
        <w:lastRenderedPageBreak/>
        <w:t xml:space="preserve">назначении лекарственных препаратов для медицинского применения детям доза определяется с учетом массы тела, возраста в соответствии с </w:t>
      </w:r>
      <w:r>
        <w:t>инструкцией по применению лекарственного препарата для медицинского применения.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</w:t>
      </w:r>
      <w:r>
        <w:t>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5A6817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15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</w:t>
      </w:r>
      <w:r>
        <w:t xml:space="preserve">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</w:t>
      </w:r>
      <w:r>
        <w:t xml:space="preserve">в амбулаторных условиях обеспечиваются лекарственными препаратами для медицинского применения, включенными в </w:t>
      </w:r>
      <w:hyperlink r:id="rId16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</w:t>
      </w:r>
      <w:r>
        <w:t>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</w:t>
      </w:r>
      <w:r>
        <w:t xml:space="preserve">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7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</w:t>
      </w:r>
      <w:r>
        <w:t xml:space="preserve">иции Российской Федерации 19.10.2007, регистрационный N 10367), от 27.08.2008 </w:t>
      </w:r>
      <w:hyperlink r:id="rId18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19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</w:t>
      </w:r>
      <w:r>
        <w:t xml:space="preserve">ом юстиции Российской Федерации 22.12.2008, регистрационный N 12917), от 23.12.2008 </w:t>
      </w:r>
      <w:hyperlink r:id="rId20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1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5A6817">
      <w:pPr>
        <w:pStyle w:val="ConsPlusNormal"/>
        <w:ind w:firstLine="540"/>
        <w:jc w:val="both"/>
      </w:pPr>
    </w:p>
    <w:p w:rsidR="00000000" w:rsidRDefault="005A6817">
      <w:pPr>
        <w:pStyle w:val="ConsPlusNormal"/>
        <w:ind w:firstLine="540"/>
        <w:jc w:val="both"/>
      </w:pPr>
    </w:p>
    <w:p w:rsidR="005A6817" w:rsidRDefault="005A6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A6817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17" w:rsidRDefault="005A6817">
      <w:pPr>
        <w:spacing w:after="0" w:line="240" w:lineRule="auto"/>
      </w:pPr>
      <w:r>
        <w:separator/>
      </w:r>
    </w:p>
  </w:endnote>
  <w:endnote w:type="continuationSeparator" w:id="0">
    <w:p w:rsidR="005A6817" w:rsidRDefault="005A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A68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A681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A6817" w:rsidRDefault="005A681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A681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A681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A6817" w:rsidRDefault="005A681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A681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A6817" w:rsidRDefault="005A6817">
          <w:pPr>
            <w:pStyle w:val="ConsPlusNormal"/>
            <w:jc w:val="right"/>
          </w:pPr>
          <w:r w:rsidRPr="005A6817">
            <w:t xml:space="preserve">Страница </w:t>
          </w:r>
          <w:r w:rsidRPr="005A6817">
            <w:fldChar w:fldCharType="begin"/>
          </w:r>
          <w:r w:rsidRPr="005A6817">
            <w:instrText>\PAGE</w:instrText>
          </w:r>
          <w:r w:rsidR="00E538E4" w:rsidRPr="005A6817">
            <w:fldChar w:fldCharType="separate"/>
          </w:r>
          <w:r w:rsidR="00E538E4" w:rsidRPr="005A6817">
            <w:rPr>
              <w:noProof/>
            </w:rPr>
            <w:t>11</w:t>
          </w:r>
          <w:r w:rsidRPr="005A6817">
            <w:fldChar w:fldCharType="end"/>
          </w:r>
          <w:r w:rsidRPr="005A6817">
            <w:t xml:space="preserve"> из </w:t>
          </w:r>
          <w:r w:rsidRPr="005A6817">
            <w:fldChar w:fldCharType="begin"/>
          </w:r>
          <w:r w:rsidRPr="005A6817">
            <w:instrText>\NUMPAGES</w:instrText>
          </w:r>
          <w:r w:rsidR="00E538E4" w:rsidRPr="005A6817">
            <w:fldChar w:fldCharType="separate"/>
          </w:r>
          <w:r w:rsidR="00E538E4" w:rsidRPr="005A6817">
            <w:rPr>
              <w:noProof/>
            </w:rPr>
            <w:t>11</w:t>
          </w:r>
          <w:r w:rsidRPr="005A6817">
            <w:fldChar w:fldCharType="end"/>
          </w:r>
        </w:p>
      </w:tc>
    </w:tr>
  </w:tbl>
  <w:p w:rsidR="00000000" w:rsidRDefault="005A68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17" w:rsidRDefault="005A6817">
      <w:pPr>
        <w:spacing w:after="0" w:line="240" w:lineRule="auto"/>
      </w:pPr>
      <w:r>
        <w:separator/>
      </w:r>
    </w:p>
  </w:footnote>
  <w:footnote w:type="continuationSeparator" w:id="0">
    <w:p w:rsidR="005A6817" w:rsidRDefault="005A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A681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A6817" w:rsidRDefault="005A6817">
          <w:pPr>
            <w:pStyle w:val="ConsPlusNormal"/>
            <w:rPr>
              <w:sz w:val="16"/>
              <w:szCs w:val="16"/>
            </w:rPr>
          </w:pPr>
          <w:r w:rsidRPr="005A6817">
            <w:rPr>
              <w:sz w:val="16"/>
              <w:szCs w:val="16"/>
            </w:rPr>
            <w:t>Приказ Минздрава России от 09.11.2012 N 865н</w:t>
          </w:r>
          <w:r w:rsidRPr="005A6817">
            <w:rPr>
              <w:sz w:val="16"/>
              <w:szCs w:val="16"/>
            </w:rPr>
            <w:br/>
            <w:t>"Об утверждении стандарта первичной медико-санита</w:t>
          </w:r>
          <w:r w:rsidRPr="005A6817">
            <w:rPr>
              <w:sz w:val="16"/>
              <w:szCs w:val="16"/>
            </w:rPr>
            <w:t>рной помощи детям при юнош...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A6817" w:rsidRDefault="005A681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A6817" w:rsidRDefault="005A681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A6817" w:rsidRDefault="005A6817">
          <w:pPr>
            <w:pStyle w:val="ConsPlusNormal"/>
            <w:jc w:val="right"/>
            <w:rPr>
              <w:sz w:val="16"/>
              <w:szCs w:val="16"/>
            </w:rPr>
          </w:pPr>
          <w:r w:rsidRPr="005A681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A681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A6817">
            <w:rPr>
              <w:sz w:val="18"/>
              <w:szCs w:val="18"/>
            </w:rPr>
            <w:br/>
          </w:r>
          <w:r w:rsidRPr="005A6817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5A68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A681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8E4"/>
    <w:rsid w:val="005A6817"/>
    <w:rsid w:val="00E5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0878C5B69F8BF03CA9818ACF1167AC32F855BCF1D3AAF7A764C8FFDF5E6CFDD25BD5F5FF51FT0n4B" TargetMode="External"/><Relationship Id="rId13" Type="http://schemas.openxmlformats.org/officeDocument/2006/relationships/hyperlink" Target="consultantplus://offline/ref=0F60878C5B69F8BF03CA9818ACF1167AC522885DC44030A7237A4E88F2AAF1C89429B85B5DFFT1nEB" TargetMode="External"/><Relationship Id="rId18" Type="http://schemas.openxmlformats.org/officeDocument/2006/relationships/hyperlink" Target="consultantplus://offline/ref=0F60878C5B69F8BF03CA9818ACF1167AC72B855BCD1D3AAF7A764C8FTFnD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60878C5B69F8BF03CA9818ACF1167AC02F8758CD1D3AAF7A764C8FTFnDB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F60878C5B69F8BF03CA9818ACF1167AC522885DC44030A7237A4E88F2AAF1C89429B85B5DFFT1n1B" TargetMode="External"/><Relationship Id="rId17" Type="http://schemas.openxmlformats.org/officeDocument/2006/relationships/hyperlink" Target="consultantplus://offline/ref=0F60878C5B69F8BF03CA9818ACF1167AC62D885ACF1D3AAF7A764C8FTFnDB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60878C5B69F8BF03CA9818ACF1167AC02F895CCB1D3AAF7A764C8FFDF5E6CFDD25BD5F5FF012T0n0B" TargetMode="External"/><Relationship Id="rId20" Type="http://schemas.openxmlformats.org/officeDocument/2006/relationships/hyperlink" Target="consultantplus://offline/ref=0F60878C5B69F8BF03CA9818ACF1167AC72A895DC91D3AAF7A764C8FTFnDB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F60878C5B69F8BF03CA9818ACF1167AC522885DC44030A7237A4E88F2AAF1C89429B85B5DFFT1n4B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60878C5B69F8BF03CA8707AAF1167AC52F875FCF1367A5722F408DFATFnAB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F60878C5B69F8BF03CA9818ACF1167AC522885DC44030A7237A4E88F2AAF1C89429B85B5DFFT1n7B" TargetMode="External"/><Relationship Id="rId19" Type="http://schemas.openxmlformats.org/officeDocument/2006/relationships/hyperlink" Target="consultantplus://offline/ref=0F60878C5B69F8BF03CA9818ACF1167AC72A8555CF1D3AAF7A764C8FTFnD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60878C5B69F8BF03CA9818ACF1167AC522885DC44030A7237A4ET8n8B" TargetMode="External"/><Relationship Id="rId14" Type="http://schemas.openxmlformats.org/officeDocument/2006/relationships/hyperlink" Target="consultantplus://offline/ref=0F60878C5B69F8BF03CA9818ACF1167AC522885DC44030A7237A4ET8n8B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3708</Words>
  <Characters>21141</Characters>
  <Application>Microsoft Office Word</Application>
  <DocSecurity>2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865н"Об утверждении стандарта первичной медико-санитарной помощи детям при юношеском (ювенильном) артрите"(Зарегистрировано в Минюсте России 15.02.2013 N 27123)</vt:lpstr>
    </vt:vector>
  </TitlesOfParts>
  <Company>КонсультантПлюс Версия 4016.00.46</Company>
  <LinksUpToDate>false</LinksUpToDate>
  <CharactersWithSpaces>24800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865н"Об утверждении стандарта первичной медико-санитарной помощи детям при юношеском (ювенильном) артрите"(Зарегистрировано в Минюсте России 15.02.2013 N 27123)</dc:title>
  <dc:creator>Муржак Ирина Дмитриевна</dc:creator>
  <cp:lastModifiedBy>Муржак Ирина Дмитриевна</cp:lastModifiedBy>
  <cp:revision>2</cp:revision>
  <dcterms:created xsi:type="dcterms:W3CDTF">2017-07-21T07:31:00Z</dcterms:created>
  <dcterms:modified xsi:type="dcterms:W3CDTF">2017-07-21T07:31:00Z</dcterms:modified>
</cp:coreProperties>
</file>