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C32D5">
        <w:trPr>
          <w:trHeight w:hRule="exact" w:val="3031"/>
        </w:trPr>
        <w:tc>
          <w:tcPr>
            <w:tcW w:w="10716" w:type="dxa"/>
          </w:tcPr>
          <w:p w:rsidR="00000000" w:rsidRPr="003C32D5" w:rsidRDefault="003C32D5">
            <w:pPr>
              <w:pStyle w:val="ConsPlusTitlePage"/>
            </w:pPr>
            <w:bookmarkStart w:id="0" w:name="_GoBack"/>
            <w:bookmarkEnd w:id="0"/>
            <w:r w:rsidRPr="003C32D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3C32D5">
        <w:trPr>
          <w:trHeight w:hRule="exact" w:val="8335"/>
        </w:trPr>
        <w:tc>
          <w:tcPr>
            <w:tcW w:w="10716" w:type="dxa"/>
            <w:vAlign w:val="center"/>
          </w:tcPr>
          <w:p w:rsidR="00000000" w:rsidRPr="003C32D5" w:rsidRDefault="003C32D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C32D5">
              <w:rPr>
                <w:sz w:val="48"/>
                <w:szCs w:val="48"/>
              </w:rPr>
              <w:t xml:space="preserve"> Приказ Минздрава России от 07.11.2012 N 659н</w:t>
            </w:r>
            <w:r w:rsidRPr="003C32D5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язве желудка и двенадцатиперстной кишки (обострение)"</w:t>
            </w:r>
            <w:r w:rsidRPr="003C32D5">
              <w:rPr>
                <w:sz w:val="48"/>
                <w:szCs w:val="48"/>
              </w:rPr>
              <w:br/>
            </w:r>
            <w:r w:rsidRPr="003C32D5">
              <w:rPr>
                <w:sz w:val="48"/>
                <w:szCs w:val="48"/>
              </w:rPr>
              <w:t>(Зарегистрировано в Минюсте России 29.12.2012 N 26485)</w:t>
            </w:r>
          </w:p>
        </w:tc>
      </w:tr>
      <w:tr w:rsidR="00000000" w:rsidRPr="003C32D5">
        <w:trPr>
          <w:trHeight w:hRule="exact" w:val="3031"/>
        </w:trPr>
        <w:tc>
          <w:tcPr>
            <w:tcW w:w="10716" w:type="dxa"/>
            <w:vAlign w:val="center"/>
          </w:tcPr>
          <w:p w:rsidR="00000000" w:rsidRPr="003C32D5" w:rsidRDefault="003C32D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C32D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C32D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C32D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C32D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C32D5">
              <w:rPr>
                <w:sz w:val="28"/>
                <w:szCs w:val="28"/>
              </w:rPr>
              <w:t xml:space="preserve"> </w:t>
            </w:r>
            <w:r w:rsidRPr="003C32D5">
              <w:rPr>
                <w:sz w:val="28"/>
                <w:szCs w:val="28"/>
              </w:rPr>
              <w:br/>
            </w:r>
            <w:r w:rsidRPr="003C32D5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3C32D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C3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C32D5">
      <w:pPr>
        <w:pStyle w:val="ConsPlusNormal"/>
        <w:jc w:val="both"/>
        <w:outlineLvl w:val="0"/>
      </w:pPr>
    </w:p>
    <w:p w:rsidR="00000000" w:rsidRDefault="003C32D5">
      <w:pPr>
        <w:pStyle w:val="ConsPlusNormal"/>
        <w:outlineLvl w:val="0"/>
      </w:pPr>
      <w:r>
        <w:t>Зарегистрировано в Минюсте России 29 декабря 2012 г. N 26485</w:t>
      </w:r>
    </w:p>
    <w:p w:rsidR="00000000" w:rsidRDefault="003C32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32D5">
      <w:pPr>
        <w:pStyle w:val="ConsPlusNormal"/>
      </w:pPr>
    </w:p>
    <w:p w:rsidR="00000000" w:rsidRDefault="003C32D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C32D5">
      <w:pPr>
        <w:pStyle w:val="ConsPlusTitle"/>
        <w:jc w:val="center"/>
      </w:pPr>
    </w:p>
    <w:p w:rsidR="00000000" w:rsidRDefault="003C32D5">
      <w:pPr>
        <w:pStyle w:val="ConsPlusTitle"/>
        <w:jc w:val="center"/>
      </w:pPr>
      <w:r>
        <w:t>ПРИКАЗ</w:t>
      </w:r>
    </w:p>
    <w:p w:rsidR="00000000" w:rsidRDefault="003C32D5">
      <w:pPr>
        <w:pStyle w:val="ConsPlusTitle"/>
        <w:jc w:val="center"/>
      </w:pPr>
      <w:r>
        <w:t>от 7 ноября 2012 г. N 659н</w:t>
      </w:r>
    </w:p>
    <w:p w:rsidR="00000000" w:rsidRDefault="003C32D5">
      <w:pPr>
        <w:pStyle w:val="ConsPlusTitle"/>
        <w:jc w:val="center"/>
      </w:pPr>
    </w:p>
    <w:p w:rsidR="00000000" w:rsidRDefault="003C32D5">
      <w:pPr>
        <w:pStyle w:val="ConsPlusTitle"/>
        <w:jc w:val="center"/>
      </w:pPr>
      <w:r>
        <w:t>ОБ УТВЕРЖДЕНИИ СТАНДАРТА</w:t>
      </w:r>
    </w:p>
    <w:p w:rsidR="00000000" w:rsidRDefault="003C32D5">
      <w:pPr>
        <w:pStyle w:val="ConsPlusTitle"/>
        <w:jc w:val="center"/>
      </w:pPr>
      <w:r>
        <w:t>ПЕРВИЧНОЙ МЕДИКО-САНИТАРНОЙ ПОМОЩИ ДЕТЯМ ПРИ ЯЗВЕ ЖЕЛУДКА</w:t>
      </w:r>
    </w:p>
    <w:p w:rsidR="00000000" w:rsidRDefault="003C32D5">
      <w:pPr>
        <w:pStyle w:val="ConsPlusTitle"/>
        <w:jc w:val="center"/>
      </w:pPr>
      <w:r>
        <w:t>И ДВЕНАДЦАТИПЕРСТНОЙ КИШ</w:t>
      </w:r>
      <w:r>
        <w:t>КИ (ОБОСТРЕНИЕ)</w:t>
      </w:r>
    </w:p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</w:t>
      </w:r>
      <w:r>
        <w:t>т. 3442, 3446) приказываю:</w:t>
      </w:r>
    </w:p>
    <w:p w:rsidR="00000000" w:rsidRDefault="003C32D5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язве желудка и двенадцатиперстной кишки (обострение) согласно приложению.</w:t>
      </w:r>
    </w:p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Normal"/>
        <w:jc w:val="right"/>
      </w:pPr>
      <w:r>
        <w:t>Министр</w:t>
      </w:r>
    </w:p>
    <w:p w:rsidR="00000000" w:rsidRDefault="003C32D5">
      <w:pPr>
        <w:pStyle w:val="ConsPlusNormal"/>
        <w:jc w:val="right"/>
      </w:pPr>
      <w:r>
        <w:t>В.И.СКВОРЦОВА</w:t>
      </w:r>
    </w:p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Normal"/>
        <w:jc w:val="right"/>
        <w:outlineLvl w:val="0"/>
      </w:pPr>
      <w:r>
        <w:t>Приложение</w:t>
      </w:r>
    </w:p>
    <w:p w:rsidR="00000000" w:rsidRDefault="003C32D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C32D5">
      <w:pPr>
        <w:pStyle w:val="ConsPlusNormal"/>
        <w:jc w:val="right"/>
      </w:pPr>
      <w:r>
        <w:t>Российской Федерации</w:t>
      </w:r>
    </w:p>
    <w:p w:rsidR="00000000" w:rsidRDefault="003C32D5">
      <w:pPr>
        <w:pStyle w:val="ConsPlusNormal"/>
        <w:jc w:val="right"/>
      </w:pPr>
      <w:r>
        <w:t>от 7 ноября 2012 г. N 659н</w:t>
      </w:r>
    </w:p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3C32D5">
      <w:pPr>
        <w:pStyle w:val="ConsPlusTitle"/>
        <w:jc w:val="center"/>
      </w:pPr>
      <w:r>
        <w:t>ПЕРВИЧНОЙ СПЕЦИАЛИЗИРОВАННОЙ МЕДИКО-САНИТАРНОЙ ПОМОЩИ ДЕТЯМ</w:t>
      </w:r>
    </w:p>
    <w:p w:rsidR="00000000" w:rsidRDefault="003C32D5">
      <w:pPr>
        <w:pStyle w:val="ConsPlusTitle"/>
        <w:jc w:val="center"/>
      </w:pPr>
      <w:r>
        <w:t>ПРИ ЯЗВЕ ЖЕЛУДКА И ДВЕНАДЦАТИПЕРСТНОЙ КИШКИ (ОБОСТРЕНИЕ)</w:t>
      </w:r>
    </w:p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3C32D5">
      <w:pPr>
        <w:pStyle w:val="ConsPlusNormal"/>
        <w:spacing w:before="200"/>
        <w:ind w:firstLine="540"/>
        <w:jc w:val="both"/>
      </w:pPr>
      <w:r>
        <w:t>Пол:</w:t>
      </w:r>
      <w:r>
        <w:t xml:space="preserve"> любой</w:t>
      </w:r>
    </w:p>
    <w:p w:rsidR="00000000" w:rsidRDefault="003C32D5">
      <w:pPr>
        <w:pStyle w:val="ConsPlusNormal"/>
        <w:spacing w:before="200"/>
        <w:ind w:firstLine="540"/>
        <w:jc w:val="both"/>
      </w:pPr>
      <w:r>
        <w:t>Фаза: обострение</w:t>
      </w:r>
    </w:p>
    <w:p w:rsidR="00000000" w:rsidRDefault="003C32D5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3C32D5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3C32D5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3C32D5">
      <w:pPr>
        <w:pStyle w:val="ConsPlusNormal"/>
        <w:spacing w:before="200"/>
        <w:ind w:firstLine="540"/>
        <w:jc w:val="both"/>
      </w:pPr>
      <w:r>
        <w:t>Условие оказания: амбулаторно</w:t>
      </w:r>
    </w:p>
    <w:p w:rsidR="00000000" w:rsidRDefault="003C32D5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3C32D5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3C32D5">
      <w:pPr>
        <w:pStyle w:val="ConsPlusNormal"/>
        <w:jc w:val="both"/>
      </w:pPr>
    </w:p>
    <w:p w:rsidR="00000000" w:rsidRDefault="003C32D5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5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K25</w:t>
        </w:r>
      </w:hyperlink>
      <w:r>
        <w:t xml:space="preserve"> Язва желудка</w:t>
      </w:r>
    </w:p>
    <w:p w:rsidR="00000000" w:rsidRDefault="003C32D5">
      <w:pPr>
        <w:pStyle w:val="ConsPlusCell"/>
        <w:jc w:val="both"/>
      </w:pPr>
      <w:r>
        <w:t xml:space="preserve">    Нозологические единицы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K26</w:t>
        </w:r>
      </w:hyperlink>
      <w:r>
        <w:t xml:space="preserve"> Язва двенадцатиперстной кишки</w:t>
      </w:r>
    </w:p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3C32D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760"/>
        <w:gridCol w:w="2160"/>
        <w:gridCol w:w="2280"/>
      </w:tblGrid>
      <w:tr w:rsidR="00000000" w:rsidRPr="003C32D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outlineLvl w:val="2"/>
            </w:pPr>
            <w:r w:rsidRPr="003C32D5">
              <w:t>Прием (осмотр, консультация) врача-специал</w:t>
            </w:r>
            <w:r w:rsidRPr="003C32D5">
              <w:t xml:space="preserve">иста           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Код медицинской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 услуги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Наименование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медицинской услуги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Усредненный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показатель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частоты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предоставления </w:t>
            </w:r>
          </w:p>
          <w:p w:rsidR="00000000" w:rsidRPr="003C32D5" w:rsidRDefault="003C32D5">
            <w:pPr>
              <w:pStyle w:val="ConsPlusNonformat"/>
              <w:jc w:val="both"/>
            </w:pPr>
            <w:hyperlink w:anchor="Par72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3C32D5">
                <w:rPr>
                  <w:color w:val="0000FF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Усредненный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показатель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кратности   </w:t>
            </w:r>
            <w:r w:rsidRPr="003C32D5">
              <w:t xml:space="preserve">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применения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B01.004.001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Прием (осмотр,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консультация) врача-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гастроэнтеролога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первичный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B01.010.001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Прием (осмотр,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>консультация) врача -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детского хирурга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первичный  </w:t>
            </w:r>
            <w:r w:rsidRPr="003C32D5">
              <w:t xml:space="preserve">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0,1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B01.031.001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Прием (осмотр,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консультация) врача-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педиатра первичный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</w:tbl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Normal"/>
        <w:ind w:firstLine="540"/>
        <w:jc w:val="both"/>
      </w:pPr>
      <w:r>
        <w:t>--------------------------------</w:t>
      </w:r>
    </w:p>
    <w:p w:rsidR="00000000" w:rsidRDefault="003C32D5">
      <w:pPr>
        <w:pStyle w:val="ConsPlusNormal"/>
        <w:spacing w:before="200"/>
        <w:ind w:firstLine="540"/>
        <w:jc w:val="both"/>
      </w:pPr>
      <w:bookmarkStart w:id="2" w:name="Par72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3C32D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760"/>
        <w:gridCol w:w="2160"/>
        <w:gridCol w:w="2280"/>
      </w:tblGrid>
      <w:tr w:rsidR="00000000" w:rsidRPr="003C32D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outlineLvl w:val="2"/>
            </w:pPr>
            <w:r w:rsidRPr="003C32D5">
              <w:t xml:space="preserve">Лабораторные методы исследования                             </w:t>
            </w:r>
            <w:r w:rsidRPr="003C32D5">
              <w:t xml:space="preserve">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Код медицинской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 услуги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Наименование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медицинской услуги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Усредненный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показатель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частоты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предоставления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Усредненный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показатель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кратности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применения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A08.16.002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Морфологическое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исследование 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препарата тканей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желудка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A08.16.003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Морфологическое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исследование 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препарата тканей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двенадцатиперстной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кишки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A08.16.004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Исследование 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материала желудка на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наличие геликобактер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пилори (Helicobacter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pylori)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A09.05.007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Исследование уровня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железа сыворотки  </w:t>
            </w:r>
            <w:r w:rsidRPr="003C32D5">
              <w:t xml:space="preserve">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крови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lastRenderedPageBreak/>
              <w:t xml:space="preserve">A09.19.001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Исследование кала на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скрытую кровь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A26.06.033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>Определение антител к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геликобактеру пилори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>(Helicobacter pylori)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A26.06.033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>Определение антител к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геликобактеру пилори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>(Helicobacter pylori)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A26.06.036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Определение антигена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 вирусу гепатита </w:t>
            </w:r>
            <w:r w:rsidRPr="003C32D5">
              <w:t xml:space="preserve">B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(HBsAg Hepatitis B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virus)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A26.06.041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Определение антител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классов M, G (IgM,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IgG) к вирусному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>гепатиту C (Hepatitis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C virus)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A26.06.041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Определение антител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классов M, G (IgM,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IgG) к вирусному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>гепатиту C (Hepatitis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C virus)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A26.06.048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Определение антител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классов M, G (IgM,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IgG) к вирусу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иммунодефицита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>человека ВИЧ-1 (Human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immunodeficiency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virus HIV 1)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A26.06.049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Определение антител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классов M, G (IgM,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IgG) к вирусу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иммунодефицита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>человека ВИЧ-2 (Human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>immun</w:t>
            </w:r>
            <w:r w:rsidRPr="003C32D5">
              <w:t xml:space="preserve">odeficiency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virus HIV 2)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B03.016.003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Общий (клинический)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анализ крови 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B03.016.004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Анализ крови 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биохимический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общетерапевтический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</w:tbl>
    <w:p w:rsidR="00000000" w:rsidRDefault="003C32D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760"/>
        <w:gridCol w:w="2160"/>
        <w:gridCol w:w="2280"/>
      </w:tblGrid>
      <w:tr w:rsidR="00000000" w:rsidRPr="003C32D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outlineLvl w:val="2"/>
            </w:pPr>
            <w:r w:rsidRPr="003C32D5">
              <w:t xml:space="preserve">Инструментальные методы исследования                     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Код медицинской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 услуги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Наименование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медицинской услуги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Усредненный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показатель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частоты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lastRenderedPageBreak/>
              <w:t xml:space="preserve"> предоставления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lastRenderedPageBreak/>
              <w:t xml:space="preserve">   Усредненный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показатель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кратности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lastRenderedPageBreak/>
              <w:t xml:space="preserve">   применения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lastRenderedPageBreak/>
              <w:t xml:space="preserve">A03.16.001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>Эзофагогастродуодено-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скопия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A04.16.001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Ультразвуковое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исследование органов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брюшной полости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(комплексное)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A05.10.006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Регистрация  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электрокардиограммы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0,3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A05.10.007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Мониторирование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>электрокардиографи</w:t>
            </w:r>
            <w:r w:rsidRPr="003C32D5">
              <w:t xml:space="preserve">-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ческих данных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0,3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A11.16.002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Биопсия желудка с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помощью эндоскопии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A11.16.003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Биопсия      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двенадцатиперстной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кишки с помощью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эндоскопии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</w:tbl>
    <w:p w:rsidR="00000000" w:rsidRDefault="003C32D5">
      <w:pPr>
        <w:pStyle w:val="ConsPlusNormal"/>
        <w:jc w:val="both"/>
      </w:pPr>
    </w:p>
    <w:p w:rsidR="00000000" w:rsidRDefault="003C32D5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3C32D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760"/>
        <w:gridCol w:w="2160"/>
        <w:gridCol w:w="2280"/>
      </w:tblGrid>
      <w:tr w:rsidR="00000000" w:rsidRPr="003C32D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outlineLvl w:val="2"/>
            </w:pPr>
            <w:r w:rsidRPr="003C32D5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Код медицинской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 услуги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Наименование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медицинской услуги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Усредненный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показатель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частоты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предоставления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Усредненный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показатель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кратности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применения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B01.004.002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Прием (осмотр,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консультация) врача-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>гастроэнте</w:t>
            </w:r>
            <w:r w:rsidRPr="003C32D5">
              <w:t xml:space="preserve">ролога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повторный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2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B01.010.002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Прием (осмотр,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>консультация) врача -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детского хирурга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повторный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0,1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B01.031.002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Прием (осмотр,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консультация) врача-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педиатра повторный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0,3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</w:tbl>
    <w:p w:rsidR="00000000" w:rsidRDefault="003C32D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760"/>
        <w:gridCol w:w="2160"/>
        <w:gridCol w:w="2280"/>
      </w:tblGrid>
      <w:tr w:rsidR="00000000" w:rsidRPr="003C32D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outlineLvl w:val="2"/>
            </w:pPr>
            <w:r w:rsidRPr="003C32D5">
              <w:t xml:space="preserve">Наблюдение и уход за пациентом средним и младшим медицинским работником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со средним, начальным профессиональным образованием      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Код медицинской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 услуги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Наименование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медицинской услуги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Усредненный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показатель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частоты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предоставления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Усредненный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показатель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кратности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применения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A11.05.001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Взятие крови из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пальца         </w:t>
            </w:r>
            <w:r w:rsidRPr="003C32D5">
              <w:t xml:space="preserve">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lastRenderedPageBreak/>
              <w:t xml:space="preserve">A11.12.009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Взятие крови из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периферической вены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0,5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</w:tbl>
    <w:p w:rsidR="00000000" w:rsidRDefault="003C32D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760"/>
        <w:gridCol w:w="2160"/>
        <w:gridCol w:w="2280"/>
      </w:tblGrid>
      <w:tr w:rsidR="00000000" w:rsidRPr="003C32D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outlineLvl w:val="2"/>
            </w:pPr>
            <w:r w:rsidRPr="003C32D5">
              <w:t xml:space="preserve">Лабораторные методы исследования                         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Код медицинской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 услуги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Наименование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медицинской услуги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Усредненный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показатель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частоты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предоставления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Усредненный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показатель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 кратности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   применения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A09.05.007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Исследование уровня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железа сыворотки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крови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0,5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A09.19.001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Исследование кала на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скрытую кровь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0,5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B03.016.003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Общий (клинический)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анализ крови 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B03.016.004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Анализ крови 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биохимический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общетерапевтический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0,5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A03.16.001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>Эзофагогастродуодено-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скопия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  <w:tr w:rsidR="00000000" w:rsidRPr="003C32D5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A08.16.004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>Иссл</w:t>
            </w:r>
            <w:r w:rsidRPr="003C32D5">
              <w:t xml:space="preserve">едование        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материала желудка на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наличие геликобактер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пилори (Helicobacter </w:t>
            </w:r>
          </w:p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pylori)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0,5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</w:pPr>
            <w:r w:rsidRPr="003C32D5">
              <w:t xml:space="preserve">1                </w:t>
            </w:r>
          </w:p>
        </w:tc>
      </w:tr>
    </w:tbl>
    <w:p w:rsidR="00000000" w:rsidRDefault="003C32D5">
      <w:pPr>
        <w:pStyle w:val="ConsPlusNormal"/>
        <w:jc w:val="both"/>
      </w:pPr>
    </w:p>
    <w:p w:rsidR="00000000" w:rsidRDefault="003C32D5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3C32D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352"/>
        <w:gridCol w:w="2100"/>
        <w:gridCol w:w="1428"/>
        <w:gridCol w:w="1092"/>
        <w:gridCol w:w="924"/>
        <w:gridCol w:w="1008"/>
      </w:tblGrid>
      <w:tr w:rsidR="00000000" w:rsidRPr="003C32D5">
        <w:trPr>
          <w:trHeight w:val="1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  Код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         Анатомо-     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терапевтическо-химическая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      классификация      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     Наименование  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    лекарственного 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    препарата </w:t>
            </w:r>
            <w:hyperlink w:anchor="Par352" w:tooltip="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" w:history="1">
              <w:r w:rsidRPr="003C32D5">
                <w:rPr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  Усредненный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  показатель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    частоты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предоставления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  Единицы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 измерения 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   ССД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353" w:tooltip="&lt;***&gt; Средняя суточная доза." w:history="1">
              <w:r w:rsidRPr="003C32D5">
                <w:rPr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   СКД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354" w:tooltip="&lt;****&gt; Средняя курсовая доза." w:history="1">
              <w:r w:rsidRPr="003C32D5">
                <w:rPr>
                  <w:color w:val="0000FF"/>
                  <w:sz w:val="14"/>
                  <w:szCs w:val="14"/>
                </w:rPr>
                <w:t>&lt;****&gt;</w:t>
              </w:r>
            </w:hyperlink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A02AB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Соединения алюминия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0,5  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Алюминия фосфат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г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62,4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1310,4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A02AF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Антациды в комбинации с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ветрогонными средствами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0,1  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Алгелдрат + Магния 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гидроксид + Симетикон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мл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40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840 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A02AX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Антациды в других     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комбинациях     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0,75 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Алгелдрат + Магния 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гидроксид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мл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40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840 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Алгелдрат + Бензокаин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+ Магния гидроксид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мл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40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840 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A02BA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Блокаторы H2-гистаминовых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рецепторов      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0,2  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Ранитидин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мг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300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6300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Фамотидин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мг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40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840 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lastRenderedPageBreak/>
              <w:t xml:space="preserve">A02BC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Ингибиторы протонового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насоса          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1    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Омепразол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мг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40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840 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Пантопразол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мг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40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840 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Рабепразол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мг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20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420 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Эзомепразол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мг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40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840 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A02BX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Другие препараты для  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лечения язвенной болезни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желудка и             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двенадцатиперстной кишки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и гастроэзофагальной  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рефлюксной болезни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1    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Висмута трикалия   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дицитрат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мг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609,2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12793,2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Сукральфат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г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4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84  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A03FA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Стимуляторы моторики  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желудочно-кишечного   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тракта          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0,7  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Домперидон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мг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80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1680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Метоклопрамид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мг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30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630 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G01AX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Другие противомикробные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препараты и антисептики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0,3  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Нифурател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мг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800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8000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J01CA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Пенициллины широкого      </w:t>
            </w:r>
          </w:p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спектра действия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1    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Амоксициллин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г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1,5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31,5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J01FA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Макролиды            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0,7  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Джозамицин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г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1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14  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Кларитромицин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г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1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14        </w:t>
            </w: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J01XD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Производные имидазола     </w:t>
            </w: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0,5    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3C32D5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Метронидазол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мг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250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C32D5" w:rsidRDefault="003C32D5">
            <w:pPr>
              <w:pStyle w:val="ConsPlusNonformat"/>
              <w:jc w:val="both"/>
              <w:rPr>
                <w:sz w:val="14"/>
                <w:szCs w:val="14"/>
              </w:rPr>
            </w:pPr>
            <w:r w:rsidRPr="003C32D5">
              <w:rPr>
                <w:sz w:val="14"/>
                <w:szCs w:val="14"/>
              </w:rPr>
              <w:t xml:space="preserve">2500      </w:t>
            </w:r>
          </w:p>
        </w:tc>
      </w:tr>
    </w:tbl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Normal"/>
        <w:ind w:firstLine="540"/>
        <w:jc w:val="both"/>
      </w:pPr>
      <w:r>
        <w:t>--------------------------------</w:t>
      </w:r>
    </w:p>
    <w:p w:rsidR="00000000" w:rsidRDefault="003C32D5">
      <w:pPr>
        <w:pStyle w:val="ConsPlusNormal"/>
        <w:spacing w:before="200"/>
        <w:ind w:firstLine="540"/>
        <w:jc w:val="both"/>
      </w:pPr>
      <w:bookmarkStart w:id="3" w:name="Par351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3C32D5">
      <w:pPr>
        <w:pStyle w:val="ConsPlusNormal"/>
        <w:spacing w:before="200"/>
        <w:ind w:firstLine="540"/>
        <w:jc w:val="both"/>
      </w:pPr>
      <w:bookmarkStart w:id="4" w:name="Par352"/>
      <w:bookmarkEnd w:id="4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000000" w:rsidRDefault="003C32D5">
      <w:pPr>
        <w:pStyle w:val="ConsPlusNormal"/>
        <w:spacing w:before="200"/>
        <w:ind w:firstLine="540"/>
        <w:jc w:val="both"/>
      </w:pPr>
      <w:bookmarkStart w:id="5" w:name="Par353"/>
      <w:bookmarkEnd w:id="5"/>
      <w:r>
        <w:t>&lt;***&gt; Ср</w:t>
      </w:r>
      <w:r>
        <w:t>едняя суточная доза.</w:t>
      </w:r>
    </w:p>
    <w:p w:rsidR="00000000" w:rsidRDefault="003C32D5">
      <w:pPr>
        <w:pStyle w:val="ConsPlusNormal"/>
        <w:spacing w:before="200"/>
        <w:ind w:firstLine="540"/>
        <w:jc w:val="both"/>
      </w:pPr>
      <w:bookmarkStart w:id="6" w:name="Par354"/>
      <w:bookmarkEnd w:id="6"/>
      <w:r>
        <w:t>&lt;****&gt; Средняя курсовая доза.</w:t>
      </w:r>
    </w:p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Normal"/>
        <w:ind w:firstLine="540"/>
        <w:jc w:val="both"/>
      </w:pPr>
      <w:r>
        <w:t>Примечания:</w:t>
      </w:r>
    </w:p>
    <w:p w:rsidR="00000000" w:rsidRDefault="003C32D5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</w:t>
      </w:r>
      <w:r>
        <w:t xml:space="preserve">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</w:t>
      </w:r>
      <w:r>
        <w:t xml:space="preserve">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3C32D5">
      <w:pPr>
        <w:pStyle w:val="ConsPlusNormal"/>
        <w:spacing w:before="200"/>
        <w:ind w:firstLine="540"/>
        <w:jc w:val="both"/>
      </w:pPr>
      <w:r>
        <w:lastRenderedPageBreak/>
        <w:t xml:space="preserve">2. Назначение и применение </w:t>
      </w:r>
      <w:r>
        <w:t>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</w:t>
      </w:r>
      <w:r>
        <w:t>зненным показаниям) по решению врачебной комиссии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</w:t>
      </w:r>
      <w:r>
        <w:t>ст. 6724; 2012, N 26, ст. 3442, 3446)).</w:t>
      </w:r>
    </w:p>
    <w:p w:rsidR="00000000" w:rsidRDefault="003C32D5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</w:t>
      </w:r>
      <w:r>
        <w:t>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</w:t>
      </w:r>
      <w:r>
        <w:t xml:space="preserve">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</w:t>
      </w:r>
      <w:r>
        <w:t>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</w:t>
      </w:r>
      <w:r>
        <w:t xml:space="preserve">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</w:t>
      </w:r>
      <w:r>
        <w:t xml:space="preserve">Министерства здравоохранения и социального развития Российской Федерации от 19.10.2007 </w:t>
      </w:r>
      <w:hyperlink r:id="rId16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7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</w:t>
      </w:r>
      <w:r>
        <w:t xml:space="preserve">стерством юстиции Российской Федерации 10.09.2008, регистрационный N 12254), от 01.12.2008 </w:t>
      </w:r>
      <w:hyperlink r:id="rId18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9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</w:t>
      </w:r>
      <w:r>
        <w:t xml:space="preserve">н Министерством юстиции Российской Федерации 28.01.2009, регистрационный N 13195) и от 10.11.2011 </w:t>
      </w:r>
      <w:hyperlink r:id="rId20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</w:t>
      </w:r>
      <w:r>
        <w:t>ован Министерством юстиции Российской Федерации 23.11.2011, регистрационный N 22368).</w:t>
      </w:r>
    </w:p>
    <w:p w:rsidR="00000000" w:rsidRDefault="003C32D5">
      <w:pPr>
        <w:pStyle w:val="ConsPlusNormal"/>
        <w:ind w:firstLine="540"/>
        <w:jc w:val="both"/>
      </w:pPr>
    </w:p>
    <w:p w:rsidR="00000000" w:rsidRDefault="003C32D5">
      <w:pPr>
        <w:pStyle w:val="ConsPlusNormal"/>
        <w:ind w:firstLine="540"/>
        <w:jc w:val="both"/>
      </w:pPr>
    </w:p>
    <w:p w:rsidR="003C32D5" w:rsidRDefault="003C32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32D5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D5" w:rsidRDefault="003C32D5">
      <w:pPr>
        <w:spacing w:after="0" w:line="240" w:lineRule="auto"/>
      </w:pPr>
      <w:r>
        <w:separator/>
      </w:r>
    </w:p>
  </w:endnote>
  <w:endnote w:type="continuationSeparator" w:id="0">
    <w:p w:rsidR="003C32D5" w:rsidRDefault="003C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32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C32D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32D5" w:rsidRDefault="003C32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C32D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C32D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32D5" w:rsidRDefault="003C32D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C32D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32D5" w:rsidRDefault="003C32D5">
          <w:pPr>
            <w:pStyle w:val="ConsPlusNormal"/>
            <w:jc w:val="right"/>
          </w:pPr>
          <w:r w:rsidRPr="003C32D5">
            <w:t xml:space="preserve">Страница </w:t>
          </w:r>
          <w:r w:rsidRPr="003C32D5">
            <w:fldChar w:fldCharType="begin"/>
          </w:r>
          <w:r w:rsidRPr="003C32D5">
            <w:instrText>\PAGE</w:instrText>
          </w:r>
          <w:r w:rsidR="005C3F89" w:rsidRPr="003C32D5">
            <w:fldChar w:fldCharType="separate"/>
          </w:r>
          <w:r w:rsidR="005C3F89" w:rsidRPr="003C32D5">
            <w:rPr>
              <w:noProof/>
            </w:rPr>
            <w:t>8</w:t>
          </w:r>
          <w:r w:rsidRPr="003C32D5">
            <w:fldChar w:fldCharType="end"/>
          </w:r>
          <w:r w:rsidRPr="003C32D5">
            <w:t xml:space="preserve"> из </w:t>
          </w:r>
          <w:r w:rsidRPr="003C32D5">
            <w:fldChar w:fldCharType="begin"/>
          </w:r>
          <w:r w:rsidRPr="003C32D5">
            <w:instrText>\NUMPAGES</w:instrText>
          </w:r>
          <w:r w:rsidR="005C3F89" w:rsidRPr="003C32D5">
            <w:fldChar w:fldCharType="separate"/>
          </w:r>
          <w:r w:rsidR="005C3F89" w:rsidRPr="003C32D5">
            <w:rPr>
              <w:noProof/>
            </w:rPr>
            <w:t>8</w:t>
          </w:r>
          <w:r w:rsidRPr="003C32D5">
            <w:fldChar w:fldCharType="end"/>
          </w:r>
        </w:p>
      </w:tc>
    </w:tr>
  </w:tbl>
  <w:p w:rsidR="00000000" w:rsidRDefault="003C32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D5" w:rsidRDefault="003C32D5">
      <w:pPr>
        <w:spacing w:after="0" w:line="240" w:lineRule="auto"/>
      </w:pPr>
      <w:r>
        <w:separator/>
      </w:r>
    </w:p>
  </w:footnote>
  <w:footnote w:type="continuationSeparator" w:id="0">
    <w:p w:rsidR="003C32D5" w:rsidRDefault="003C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C32D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32D5" w:rsidRDefault="003C32D5">
          <w:pPr>
            <w:pStyle w:val="ConsPlusNormal"/>
            <w:rPr>
              <w:sz w:val="16"/>
              <w:szCs w:val="16"/>
            </w:rPr>
          </w:pPr>
          <w:r w:rsidRPr="003C32D5">
            <w:rPr>
              <w:sz w:val="16"/>
              <w:szCs w:val="16"/>
            </w:rPr>
            <w:t>Приказ Минздрав</w:t>
          </w:r>
          <w:r w:rsidRPr="003C32D5">
            <w:rPr>
              <w:sz w:val="16"/>
              <w:szCs w:val="16"/>
            </w:rPr>
            <w:t>а России от 07.11.2012 N 659н</w:t>
          </w:r>
          <w:r w:rsidRPr="003C32D5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язве...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32D5" w:rsidRDefault="003C32D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C32D5" w:rsidRDefault="003C32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32D5" w:rsidRDefault="003C32D5">
          <w:pPr>
            <w:pStyle w:val="ConsPlusNormal"/>
            <w:jc w:val="right"/>
            <w:rPr>
              <w:sz w:val="16"/>
              <w:szCs w:val="16"/>
            </w:rPr>
          </w:pPr>
          <w:r w:rsidRPr="003C32D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C32D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C32D5">
            <w:rPr>
              <w:sz w:val="18"/>
              <w:szCs w:val="18"/>
            </w:rPr>
            <w:br/>
          </w:r>
          <w:r w:rsidRPr="003C32D5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C32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32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F89"/>
    <w:rsid w:val="003C32D5"/>
    <w:rsid w:val="005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94C400AAD7A91DD47D0C82BF780A7EA33E47D605786972137ECAAA72A3934F9AE48F84994C6B5l4B" TargetMode="External"/><Relationship Id="rId13" Type="http://schemas.openxmlformats.org/officeDocument/2006/relationships/hyperlink" Target="consultantplus://offline/ref=CE7C9B3FD3F9D0D5796F50E0A12DB7F97CC719D87598217DFAD8DB945A5BCE4F2A07205DBB33D6C4lFB" TargetMode="External"/><Relationship Id="rId18" Type="http://schemas.openxmlformats.org/officeDocument/2006/relationships/hyperlink" Target="consultantplus://offline/ref=CE7C9B3FD3F9D0D5796F50E0A12DB7F978C219D67598217DFAD8DB94C5lAB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E7C9B3FD3F9D0D5796F50E0A12DB7F97ACA14DE7EC52B75A3D4D9C9l3B" TargetMode="External"/><Relationship Id="rId17" Type="http://schemas.openxmlformats.org/officeDocument/2006/relationships/hyperlink" Target="consultantplus://offline/ref=CE7C9B3FD3F9D0D5796F50E0A12DB7F978C319D87798217DFAD8DB94C5l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7C9B3FD3F9D0D5796F50E0A12DB7F979C514D97598217DFAD8DB94C5lAB" TargetMode="External"/><Relationship Id="rId20" Type="http://schemas.openxmlformats.org/officeDocument/2006/relationships/hyperlink" Target="consultantplus://offline/ref=CE7C9B3FD3F9D0D5796F50E0A12DB7F97FC71BDB7798217DFAD8DB94C5lAB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4A94C400AAD7A91DD47D0C82BF780A7EC3EE97B6B0A8C9F783BEEADA8752E33B0A249F14890BClAB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E7C9B3FD3F9D0D5796F50E0A12DB7F97FC715DF7198217DFAD8DB945A5BCE4F2A07205DBB31D3C4lD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4A94C400AAD7A91DD47D0C82BF780A7EC3EE97B6B0A8C9F783BEEADA8752E33B0A249F14891BClCB" TargetMode="External"/><Relationship Id="rId19" Type="http://schemas.openxmlformats.org/officeDocument/2006/relationships/hyperlink" Target="consultantplus://offline/ref=CE7C9B3FD3F9D0D5796F50E0A12DB7F978C215DE7398217DFAD8DB94C5lA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A94C400AAD7A91DD47D0C82BF780A7EC3EE97B6B0A8C9F783BEEBAlDB" TargetMode="External"/><Relationship Id="rId14" Type="http://schemas.openxmlformats.org/officeDocument/2006/relationships/hyperlink" Target="consultantplus://offline/ref=CE7C9B3FD3F9D0D5796F4FFFA72DB7F97AC71BDC75967C77F281D7965DC5l4B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3136</Words>
  <Characters>17876</Characters>
  <Application>Microsoft Office Word</Application>
  <DocSecurity>2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659н"Об утверждении стандарта первичной медико-санитарной помощи детям при язве желудка и двенадцатиперстной кишки (обострение)"(Зарегистрировано в Минюсте России 29.12.2012 N 26485)</vt:lpstr>
    </vt:vector>
  </TitlesOfParts>
  <Company>КонсультантПлюс Версия 4016.00.46</Company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659н"Об утверждении стандарта первичной медико-санитарной помощи детям при язве желудка и двенадцатиперстной кишки (обострение)"(Зарегистрировано в Минюсте России 29.12.2012 N 26485)</dc:title>
  <dc:creator>Муржак Ирина Дмитриевна</dc:creator>
  <cp:lastModifiedBy>Муржак Ирина Дмитриевна</cp:lastModifiedBy>
  <cp:revision>2</cp:revision>
  <dcterms:created xsi:type="dcterms:W3CDTF">2017-07-21T07:30:00Z</dcterms:created>
  <dcterms:modified xsi:type="dcterms:W3CDTF">2017-07-21T07:30:00Z</dcterms:modified>
</cp:coreProperties>
</file>